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df" ContentType="application/pdf"/>
  <Override PartName="/word/media/rId59.pdf" ContentType="application/pdf"/>
  <Override PartName="/word/media/rId50.pdf" ContentType="application/pdf"/>
  <Override PartName="/word/media/rId35.pdf" ContentType="application/pdf"/>
  <Override PartName="/word/media/rId27.pdf" ContentType="application/pdf"/>
  <Override PartName="/word/media/rId42.pdf" ContentType="application/pdf"/>
  <Override PartName="/word/media/rId52.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A</w:t>
      </w:r>
      <w:r>
        <w:rPr>
          <w:bCs/>
          <w:b/>
        </w:rPr>
        <w:t xml:space="preserve"> </w:t>
      </w:r>
      <w:r>
        <w:rPr>
          <w:bCs/>
          <w:b/>
        </w:rPr>
        <w:t xml:space="preserve">simulation</w:t>
      </w:r>
      <w:r>
        <w:rPr>
          <w:bCs/>
          <w:b/>
        </w:rPr>
        <w:t xml:space="preserve"> </w:t>
      </w:r>
      <w:r>
        <w:rPr>
          <w:bCs/>
          <w:b/>
        </w:rPr>
        <w:t xml:space="preserve">study</w:t>
      </w:r>
      <w:r>
        <w:rPr>
          <w:bCs/>
          <w:b/>
        </w:rPr>
        <w:t xml:space="preserve"> </w:t>
      </w:r>
      <w:r>
        <w:rPr>
          <w:bCs/>
          <w:b/>
        </w:rPr>
        <w:t xml:space="preserve">to</w:t>
      </w:r>
      <w:r>
        <w:rPr>
          <w:bCs/>
          <w:b/>
        </w:rPr>
        <w:t xml:space="preserve"> </w:t>
      </w:r>
      <w:r>
        <w:rPr>
          <w:bCs/>
          <w:b/>
        </w:rPr>
        <w:t xml:space="preserve">compare</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have</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(14C)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age-depth</w:t>
      </w:r>
      <w:r>
        <w:t xml:space="preserve"> </w:t>
      </w:r>
      <w:r>
        <w:t xml:space="preserve">model</w:t>
      </w:r>
      <w:r>
        <w:t xml:space="preserve"> </w:t>
      </w:r>
      <w:r>
        <w:t xml:space="preserve">resolution</w:t>
      </w:r>
      <w:r>
        <w:t xml:space="preserve"> </w:t>
      </w:r>
      <w:r>
        <w:t xml:space="preserve">for</w:t>
      </w:r>
      <w:r>
        <w:t xml:space="preserve"> </w:t>
      </w:r>
      <w:r>
        <w:t xml:space="preserve">the</w:t>
      </w:r>
      <w:r>
        <w:t xml:space="preserve"> </w:t>
      </w:r>
      <w:r>
        <w:t xml:space="preserve">recent</w:t>
      </w:r>
      <w:r>
        <w:t xml:space="preserve"> </w:t>
      </w:r>
      <w:r>
        <w:t xml:space="preserve">period,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work,</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for</w:t>
      </w:r>
      <w:r>
        <w:t xml:space="preserve"> </w:t>
      </w:r>
      <w:r>
        <w:t xml:space="preserve">the</w:t>
      </w:r>
      <w:r>
        <w:t xml:space="preserve"> </w:t>
      </w:r>
      <w:r>
        <w:t xml:space="preserve">sediment,</w:t>
      </w:r>
      <w:r>
        <w:t xml:space="preserve"> </w:t>
      </w:r>
      <w:r>
        <w:t xml:space="preserve">nor</w:t>
      </w:r>
      <w:r>
        <w:t xml:space="preserve"> </w:t>
      </w:r>
      <w:r>
        <w:t xml:space="preserve">improves</w:t>
      </w:r>
      <w:r>
        <w:t xml:space="preserve"> </w:t>
      </w:r>
      <w:r>
        <w:t xml:space="preserve">does</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0</w:t>
      </w:r>
    </w:p>
    <w:p>
      <w:pPr>
        <w:pStyle w:val="BodyText"/>
      </w:pPr>
      <w:r>
        <w:t xml:space="preserve">0</w:t>
      </w:r>
    </w:p>
    <w:p>
      <w:pPr>
        <w:pStyle w:val="BodyText"/>
      </w:pPr>
      <w:r>
        <w:t xml:space="preserve"> </w:t>
      </w:r>
      <w:r>
        <w:rPr>
          <w:bCs/>
          <w:b/>
        </w:rPr>
        <w:t xml:space="preserve">A simulation study to compare</w:t>
      </w:r>
      <w:r>
        <w:rPr>
          <w:bCs/>
          <w:b/>
        </w:rPr>
        <w:t xml:space="preserve"> </w:t>
      </w:r>
      <m:oMath>
        <m:sSup>
          <m:e>
            <m:r>
              <m:t>​</m:t>
            </m:r>
          </m:e>
          <m:sup>
            <m:r>
              <m:t>210</m:t>
            </m:r>
          </m:sup>
        </m:sSup>
      </m:oMath>
      <w:r>
        <w:rPr>
          <w:bCs/>
          <w:b/>
        </w:rPr>
        <w:t xml:space="preserve">Pb dating analyses</w:t>
      </w:r>
      <w:r>
        <w:t xml:space="preserve"> </w:t>
      </w:r>
    </w:p>
    <w:p>
      <w:pPr>
        <w:pStyle w:val="BodyText"/>
      </w:pPr>
      <w:r>
        <w:rPr>
          <w:iCs/>
          <w:i/>
        </w:rPr>
        <w:t xml:space="preserve">Keywords:</w:t>
      </w:r>
      <w:r>
        <w:t xml:space="preserve"> </w:t>
      </w:r>
      <w:r>
        <w:t xml:space="preserve">Plum, Age-depth models, Chronology, Constant Rate of Supply,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rPr>
            <m:sty m:val="p"/>
          </m:rPr>
          <m:t>±</m:t>
        </m:r>
      </m:oMath>
      <w:r>
        <w:t xml:space="preserve">0.12 years, is commonly used to date recent recently accumulated sediments (</w:t>
      </w:r>
      <m:oMath>
        <m:r>
          <m:rPr>
            <m:sty m:val="p"/>
          </m:rPr>
          <m:t>&lt;</m:t>
        </m:r>
        <m:r>
          <m:t>150</m:t>
        </m:r>
      </m:oMath>
      <w:r>
        <w:t xml:space="preserve">years).</w:t>
      </w:r>
      <w:r>
        <w:t xml:space="preserve"> </w:t>
      </w:r>
      <w:r>
        <w:t xml:space="preserve">In recent decades, increasing number of palaeoecological and pollution studies have focused on these recent sediments</w:t>
      </w:r>
      <w:r>
        <w:t xml:space="preserve"> </w:t>
      </w:r>
      <w:r>
        <w:t xml:space="preserve">[e.g.,@Courtney2019]</w:t>
      </w:r>
      <w:r>
        <w:t xml:space="preserve"> </w:t>
      </w:r>
      <w:r>
        <w:t xml:space="preserve">in order to evaluate human impacts on the environment.</w:t>
      </w:r>
      <w:r>
        <w:t xml:space="preserve"> </w:t>
      </w:r>
      <w:r>
        <w:t xml:space="preserve">Unlike to other dating techniques such as</w:t>
      </w:r>
      <w:r>
        <w:t xml:space="preserve"> </w:t>
      </w:r>
      <m:oMath>
        <m:sSup>
          <m:e>
            <m:r>
              <m:t>​</m:t>
            </m:r>
          </m:e>
          <m:sup>
            <m:r>
              <m:t>14</m:t>
            </m:r>
          </m:sup>
        </m:sSup>
      </m:oMath>
      <w:r>
        <w:t xml:space="preserve">C (radiocarbon dating), dating single sediment layers is not possible from a single measurement of</w:t>
      </w:r>
      <w:r>
        <w:t xml:space="preserve"> </w:t>
      </w:r>
      <m:oMath>
        <m:sSup>
          <m:e>
            <m:r>
              <m:t>​</m:t>
            </m:r>
          </m:e>
          <m:sup>
            <m:r>
              <m:t>210</m:t>
            </m:r>
          </m:sup>
        </m:sSup>
      </m:oMath>
      <w:r>
        <w:t xml:space="preserve">Pb; it is only when a suitable portion of the excess-</w:t>
      </w:r>
      <m:oMath>
        <m:sSup>
          <m:e>
            <m:r>
              <m:t>​</m:t>
            </m:r>
          </m:e>
          <m:sup>
            <m:r>
              <m:t>210</m:t>
            </m:r>
          </m:sup>
        </m:sSup>
      </m:oMath>
      <w:r>
        <w:t xml:space="preserve">Pb (atmospheric</w:t>
      </w:r>
      <w:r>
        <w:t xml:space="preserve"> </w:t>
      </w:r>
      <m:oMath>
        <m:sSup>
          <m:e>
            <m:r>
              <m:t>​</m:t>
            </m:r>
          </m:e>
          <m:sup>
            <m:r>
              <m:t>210</m:t>
            </m:r>
          </m:sup>
        </m:sSup>
      </m:oMath>
      <w:r>
        <w:t xml:space="preserve">Pb) decay curve is measured, representing the toral inventory of</w:t>
      </w:r>
      <w:r>
        <w:t xml:space="preserve"> </w:t>
      </w:r>
      <m:oMath>
        <m:sSup>
          <m:e>
            <m:r>
              <m:t>​</m:t>
            </m:r>
          </m:e>
          <m:sup>
            <m:r>
              <m:t>210</m:t>
            </m:r>
          </m:sup>
        </m:sSup>
      </m:oMath>
      <w:r>
        <w:t xml:space="preserve">Pb from atmospheric deposition and runoff, and when certain assumptions about the sedimentation process are met that a chronology can be established.</w:t>
      </w:r>
      <w:r>
        <w:t xml:space="preserve"> </w:t>
      </w:r>
      <w:r>
        <w:t xml:space="preserve">These studies strongly rely on the accuracy of their chronologies in order to correctly assign dates to chemical, biological and ecological changes.</w:t>
      </w:r>
      <w:r>
        <w:t xml:space="preserve"> </w:t>
      </w:r>
      <w:r>
        <w:t xml:space="preserve">That is, unlike other dating techniques, an analysis of a series (data set) of</w:t>
      </w:r>
      <w:r>
        <w:t xml:space="preserve"> </w:t>
      </w:r>
      <m:oMath>
        <m:sSup>
          <m:e>
            <m:r>
              <m:t>​</m:t>
            </m:r>
          </m:e>
          <m:sup>
            <m:r>
              <m:t>210</m:t>
            </m:r>
          </m:sup>
        </m:sSup>
      </m:oMath>
      <w:r>
        <w:t xml:space="preserve">Pb measurements must be carried out in order to obtain meaningful dates. 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analysed in order to attempt to produce a coherent chronology, see</w:t>
      </w:r>
      <w:r>
        <w:t xml:space="preserve"> </w:t>
      </w:r>
      <w:r>
        <w:t xml:space="preserve">[@Aquino2018]</w:t>
      </w:r>
      <w:r>
        <w:t xml:space="preserve">.</w:t>
      </w:r>
    </w:p>
    <w:p>
      <w:pPr>
        <w:pStyle w:val="BodyText"/>
      </w:pPr>
      <w:r>
        <w:t xml:space="preserve">A range of traditional data analyses, or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Other, more restrictive, models such as CF:CS and CIC also require the assumption of a constant flux of</w:t>
      </w:r>
      <w:r>
        <w:t xml:space="preserve"> </w:t>
      </w:r>
      <m:oMath>
        <m:sSup>
          <m:e>
            <m:r>
              <m:t>​</m:t>
            </m:r>
          </m:e>
          <m:sup>
            <m:r>
              <m:t>210</m:t>
            </m:r>
          </m:sup>
        </m:sSup>
      </m:oMath>
      <w:r>
        <w:t xml:space="preserve">Pb, as well additional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in terms of its assumptions, comes at the cost of needing to measure a sufficient portion of the inventory or to use of interpolation/extrapolation in order to properly estimate the complete inventory of</w:t>
      </w:r>
      <w:r>
        <w:t xml:space="preserve"> </w:t>
      </w:r>
      <m:oMath>
        <m:sSup>
          <m:e>
            <m:r>
              <m:t>​</m:t>
            </m:r>
          </m:e>
          <m:sup>
            <m:r>
              <m:t>210</m:t>
            </m:r>
          </m:sup>
        </m:sSup>
      </m:oMath>
      <w:r>
        <w:t xml:space="preserve">Pb in the sediment.</w:t>
      </w:r>
      <w:r>
        <w:t xml:space="preserve"> </w:t>
      </w:r>
      <w:r>
        <w:t xml:space="preserve">For details see the following section.</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Two measured</w:t>
      </w:r>
      <w:r>
        <w:t xml:space="preserve"> </w:t>
      </w:r>
      <m:oMath>
        <m:sSup>
          <m:e>
            <m:r>
              <m:t>​</m:t>
            </m:r>
          </m:e>
          <m:sup>
            <m:r>
              <m:t>210</m:t>
            </m:r>
          </m:sup>
        </m:sSup>
      </m:oMath>
      <w:r>
        <w:t xml:space="preserve">Pb data sets were send to 14 laboratories around the world with varying degrees of expertise in the</w:t>
      </w:r>
      <w:r>
        <w:t xml:space="preserve"> </w:t>
      </w:r>
      <m:oMath>
        <m:sSup>
          <m:e>
            <m:r>
              <m:t>​</m:t>
            </m:r>
          </m:e>
          <m:sup>
            <m:r>
              <m:t>210</m:t>
            </m:r>
          </m:sup>
        </m:sSup>
      </m:oMath>
      <w:r>
        <w:t xml:space="preserve">Pb dating method.</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and “anchor"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such user decisions becomes extremely important.</w:t>
      </w:r>
      <w:r>
        <w:t xml:space="preserve"> </w:t>
      </w:r>
      <w:r>
        <w:t xml:space="preserve">In addition, raw data sets are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rate of supply to the sediment, similar to the CRS model (this assumption can be relaxed at the cost of computational power).Another important difference between the CRS and</w:t>
      </w:r>
      <w:r>
        <w:t xml:space="preserve"> </w:t>
      </w:r>
      <w:r>
        <w:rPr>
          <w:iCs/>
          <w:i/>
        </w:rPr>
        <w:t xml:space="preserve">Plum</w:t>
      </w:r>
      <w:r>
        <w:t xml:space="preserve"> </w:t>
      </w:r>
      <w:r>
        <w:t xml:space="preserve">is that the latter incorporates the supported</w:t>
      </w:r>
      <w:r>
        <w:t xml:space="preserve"> </w:t>
      </w:r>
      <m:oMath>
        <m:sSup>
          <m:e>
            <m:r>
              <m:t>​</m:t>
            </m:r>
          </m:e>
          <m:sup>
            <m:r>
              <m:t>210</m:t>
            </m:r>
          </m:sup>
        </m:sSup>
      </m:oMath>
      <w:r>
        <w:t xml:space="preserve">Pb, which naturally forms in the sediment and is normally threaded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is needed to obtained a reasonable chronology for each model.</w:t>
      </w:r>
      <w:r>
        <w:t xml:space="preserve"> </w:t>
      </w:r>
      <w:r>
        <w:t xml:space="preserve">This process is of crucial importance as the amount of information depends on the number of samples; which in turn depends on the budget and user decision of how much of such budget gets uses to developing the age-depth model.</w:t>
      </w:r>
    </w:p>
    <w:p>
      <w:pPr>
        <w:pStyle w:val="BodyText"/>
      </w:pPr>
      <w:r>
        <w:t xml:space="preserve">The paper is organized as follows: second section sets the tools we use for the model comparison, describing the simulations of the three different scenarios.</w:t>
      </w:r>
      <w:r>
        <w:t xml:space="preserve"> </w:t>
      </w:r>
      <w:r>
        <w:t xml:space="preserve">Section 3 describes the comparison for both the overall chronologies and for single depths.</w:t>
      </w:r>
      <w:r>
        <w:t xml:space="preserve"> </w:t>
      </w:r>
      <w:r>
        <w:t xml:space="preserve">Section 4 shows the impact of expert revisions.</w:t>
      </w:r>
      <w:r>
        <w:t xml:space="preserve"> </w:t>
      </w:r>
      <w:r>
        <w:t xml:space="preserve">Lastly, Section 5 presents the conclusions and discussion of the results obtained in section 3.</w:t>
      </w:r>
    </w:p>
    <w:bookmarkEnd w:id="29"/>
    <w:bookmarkStart w:id="38" w:name="pb-models"/>
    <w:p>
      <w:pPr>
        <w:pStyle w:val="Heading1"/>
      </w:pPr>
      <m:oMath>
        <m:sSup>
          <m:e>
            <m:r>
              <m:t>​</m:t>
            </m:r>
          </m:e>
          <m:sup>
            <m:r>
              <m:t>210</m:t>
            </m:r>
          </m:sup>
        </m:sSup>
      </m:oMath>
      <w:r>
        <w:t xml:space="preserve">Pb Models</w:t>
      </w:r>
    </w:p>
    <w:p>
      <w:pPr>
        <w:pStyle w:val="FirstParagraph"/>
      </w:pPr>
      <w:r>
        <w:t xml:space="preserve">As previously mentioned there exist a series of methods to estimate ages from sediments containing</w:t>
      </w:r>
      <w:r>
        <w:t xml:space="preserve"> </w:t>
      </w:r>
      <m:oMath>
        <m:sSup>
          <m:e>
            <m:r>
              <m:t>​</m:t>
            </m:r>
          </m:e>
          <m:sup>
            <m:r>
              <m:t>210</m:t>
            </m:r>
          </m:sup>
        </m:sSup>
      </m:oMath>
      <w:r>
        <w:t xml:space="preserve">Pb.</w:t>
      </w:r>
      <w:r>
        <w:t xml:space="preserve"> </w:t>
      </w:r>
      <w:r>
        <w:t xml:space="preserve">These methods are based on different assumptions to achieve different chronologies.</w:t>
      </w:r>
      <w:r>
        <w:t xml:space="preserve"> </w:t>
      </w:r>
      <w:r>
        <w:t xml:space="preserve">It is important to note that all these model, excluding</w:t>
      </w:r>
      <w:r>
        <w:t xml:space="preserve"> </w:t>
      </w:r>
      <w:r>
        <w:rPr>
          <w:iCs/>
          <w:i/>
        </w:rPr>
        <w:t xml:space="preserve">Plum</w:t>
      </w:r>
      <w:r>
        <w:t xml:space="preserve">, only deal with unsupported</w:t>
      </w:r>
      <w:r>
        <w:t xml:space="preserve"> </w:t>
      </w:r>
      <m:oMath>
        <m:sSup>
          <m:e>
            <m:r>
              <m:t>​</m:t>
            </m:r>
          </m:e>
          <m:sup>
            <m:r>
              <m:t>210</m:t>
            </m:r>
          </m:sup>
        </m:sSup>
      </m:oMath>
      <w:r>
        <w:t xml:space="preserve">Pb, which is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w:t>
      </w:r>
      <w:r>
        <w:t xml:space="preserve"> </w:t>
      </w:r>
      <w:r>
        <w:t xml:space="preserve">Considering that almost any sediment contains some level of local</w:t>
      </w:r>
      <w:r>
        <w:t xml:space="preserve"> </w:t>
      </w:r>
      <m:oMath>
        <m:sSup>
          <m:e>
            <m:r>
              <m:t>​</m:t>
            </m:r>
          </m:e>
          <m:sup>
            <m:r>
              <m:t>210</m:t>
            </m:r>
          </m:sup>
        </m:sSup>
      </m:oMath>
      <w:r>
        <w:t xml:space="preserve">Pb (call supported</w:t>
      </w:r>
      <w:r>
        <w:t xml:space="preserve"> </w:t>
      </w:r>
      <m:oMath>
        <m:sSup>
          <m:e>
            <m:r>
              <m:t>​</m:t>
            </m:r>
          </m:e>
          <m:sup>
            <m:r>
              <m:t>210</m:t>
            </m:r>
          </m:sup>
        </m:sSup>
      </m:oMath>
      <w:r>
        <w:t xml:space="preserve">Pb), which is constantly replenish, and it is indistinguishable from the unsupported</w:t>
      </w:r>
      <w:r>
        <w:t xml:space="preserve"> </w:t>
      </w:r>
      <m:oMath>
        <m:sSup>
          <m:e>
            <m:r>
              <m:t>​</m:t>
            </m:r>
          </m:e>
          <m:sup>
            <m:r>
              <m:t>210</m:t>
            </m:r>
          </m:sup>
        </m:sSup>
      </m:oMath>
      <w:r>
        <w:t xml:space="preserve">Pb the proper calculation of the unsupported</w:t>
      </w:r>
      <w:r>
        <w:t xml:space="preserve"> </w:t>
      </w:r>
      <m:oMath>
        <m:sSup>
          <m:e>
            <m:r>
              <m:t>​</m:t>
            </m:r>
          </m:e>
          <m:sup>
            <m:r>
              <m:t>210</m:t>
            </m:r>
          </m:sup>
        </m:sSup>
      </m:oMath>
      <w:r>
        <w:t xml:space="preserve">Pb is critical.</w:t>
      </w:r>
      <w:r>
        <w:t xml:space="preserve"> </w:t>
      </w:r>
      <w:r>
        <w:t xml:space="preserve">In this chapter, we will go into some details of each model.</w:t>
      </w:r>
    </w:p>
    <w:bookmarkStart w:id="31" w:name="data"/>
    <w:p>
      <w:pPr>
        <w:pStyle w:val="Heading2"/>
      </w:pPr>
      <w:r>
        <w:t xml:space="preserve">Data</w:t>
      </w:r>
    </w:p>
    <w:p>
      <w:pPr>
        <w:pStyle w:val="FirstParagraph"/>
      </w:pPr>
      <w:r>
        <w:t xml:space="preserve">In order to introduce the nature of the data which these models use to create a age-depth model, we will use the data presented by</w:t>
      </w:r>
      <w:r>
        <w:t xml:space="preserve"> </w:t>
      </w:r>
      <w:r>
        <w:t xml:space="preserve">[@Sanchez-Cabeza2012]</w:t>
      </w:r>
      <w:r>
        <w:t xml:space="preserve"> </w:t>
      </w:r>
      <w:r>
        <w:t xml:space="preserve">in Table</w:t>
      </w:r>
      <w:r>
        <w:t xml:space="preserve"> </w:t>
      </w:r>
      <w:hyperlink w:anchor="tab:tehuaii">
        <w:r>
          <w:rPr>
            <w:rStyle w:val="Hyperlink"/>
          </w:rPr>
          <w:t xml:space="preserve">1</w:t>
        </w:r>
      </w:hyperlink>
      <w:r>
        <w:t xml:space="preserve">.</w:t>
      </w:r>
      <w:r>
        <w:t xml:space="preserve"> </w:t>
      </w:r>
      <w:r>
        <w:t xml:space="preserve">This data comes from gamma spectrometry which only measures</w:t>
      </w:r>
      <w:r>
        <w:t xml:space="preserve"> </w:t>
      </w:r>
      <m:oMath>
        <m:sSup>
          <m:e>
            <m:r>
              <m:t>​</m:t>
            </m:r>
          </m:e>
          <m:sup>
            <m:r>
              <m:t>210</m:t>
            </m:r>
          </m:sup>
        </m:sSup>
      </m:oMath>
      <w:r>
        <w:t xml:space="preserve">Pb, in order to have an estimate of the supported activity the authors used the deepest 3 samples. When data comes from gamma spectrometry measurements of</w:t>
      </w:r>
      <w:r>
        <w:t xml:space="preserve"> </w:t>
      </w:r>
      <m:oMath>
        <m:sSup>
          <m:e>
            <m:r>
              <m:t>​</m:t>
            </m:r>
          </m:e>
          <m:sup>
            <m:r>
              <m:t>226</m:t>
            </m:r>
          </m:sup>
        </m:sSup>
      </m:oMath>
      <w:r>
        <w:t xml:space="preserve">Ra are available and are used to infer the supported</w:t>
      </w:r>
      <w:r>
        <w:t xml:space="preserve"> </w:t>
      </w:r>
      <m:oMath>
        <m:sSup>
          <m:e>
            <m:r>
              <m:t>​</m:t>
            </m:r>
          </m:e>
          <m:sup>
            <m:r>
              <m:t>210</m:t>
            </m:r>
          </m:sup>
        </m:sSup>
      </m:oMath>
      <w:r>
        <w:t xml:space="preserve">Pb.</w:t>
      </w:r>
    </w:p>
    <w:bookmarkStart w:id="30" w:name="tab:tehuaii"/>
    <w:p>
      <w:pPr>
        <w:pStyle w:val="TableCaption"/>
      </w:pPr>
      <w:r>
        <w:t xml:space="preserve">Data from Tehuantepec Gulf (TEHUAII) reported in</w:t>
      </w:r>
      <w:r>
        <w:t xml:space="preserve"> </w:t>
      </w:r>
      <w:r>
        <w:t xml:space="preserve">[@Sanchez-Cabeza2012]</w:t>
      </w:r>
      <w:r>
        <w:t xml:space="preserve">. Depth represents the bottom depth of the samples (from the surface to a given depth), density is the sample’s density which is used to correct for compaction and other phenomena,</w:t>
      </w:r>
      <w:r>
        <w:t xml:space="preserve"> </w:t>
      </w:r>
      <m:oMath>
        <m:sSup>
          <m:e>
            <m:r>
              <m:t>​</m:t>
            </m:r>
          </m:e>
          <m:sup>
            <m:r>
              <m:t>210</m:t>
            </m:r>
          </m:sup>
        </m:sSup>
      </m:oMath>
      <w:r>
        <w:t xml:space="preserve">Pb is the measured</w:t>
      </w:r>
      <w:r>
        <w:t xml:space="preserve"> </w:t>
      </w:r>
      <m:oMath>
        <m:sSup>
          <m:e>
            <m:r>
              <m:t>​</m:t>
            </m:r>
          </m:e>
          <m:sup>
            <m:r>
              <m:t>210</m:t>
            </m:r>
          </m:sup>
        </m:sSup>
      </m:oMath>
      <w:r>
        <w:t xml:space="preserve">Pb in the given sample, sd(</w:t>
      </w:r>
      <m:oMath>
        <m:sSup>
          <m:e>
            <m:r>
              <m:t>​</m:t>
            </m:r>
          </m:e>
          <m:sup>
            <m:r>
              <m:t>210</m:t>
            </m:r>
          </m:sup>
        </m:sSup>
      </m:oMath>
      <w:r>
        <w:t xml:space="preserve">Pb) is the error reported by the laboratory and thickness is the sample’s thickness.</w:t>
      </w:r>
      <w:r>
        <w:t xml:space="preserve"> </w:t>
      </w:r>
    </w:p>
    <w:tbl>
      <w:tblPr>
        <w:tblStyle w:val="Table"/>
        <w:tblW w:type="pct" w:w="0.0"/>
        <w:tblLook w:firstRow="1" w:lastRow="0" w:firstColumn="0" w:lastColumn="0" w:noHBand="0" w:noVBand="0" w:val="0020"/>
        <w:tblCaption w:val="Data from Tehuantepec Gulf (TEHUAII) reported in [@Sanchez-Cabeza2012]. Depth represents the bottom depth of the samples (from the surface to a given depth), density is the sample’s density which is used to correct for compaction and other phenomena, ^{210}Pb is the measured ^{210}Pb in the given sample, sd(^{210}Pb) is the error reported by the laboratory and thickness is the sample’s thickness. "/>
      </w:tblPr>
      <w:tblGrid/>
      <w:tr>
        <w:tc>
          <w:p>
            <w:pPr>
              <w:pStyle w:val="Compact"/>
              <w:jc w:val="center"/>
            </w:pPr>
            <w:r>
              <w:t xml:space="preserve">ID</w:t>
            </w:r>
          </w:p>
        </w:tc>
        <w:tc>
          <w:p>
            <w:pPr>
              <w:pStyle w:val="Compact"/>
              <w:jc w:val="center"/>
            </w:pPr>
            <w:r>
              <w:t xml:space="preserve">Depth (</w:t>
            </w:r>
            <m:oMath>
              <m:r>
                <m:t>c</m:t>
              </m:r>
              <m:r>
                <m:t>m</m:t>
              </m:r>
            </m:oMath>
            <w:r>
              <w:t xml:space="preserve">)</w:t>
            </w:r>
          </w:p>
        </w:tc>
        <w:tc>
          <w:p>
            <w:pPr>
              <w:pStyle w:val="Compact"/>
              <w:jc w:val="center"/>
            </w:pPr>
            <w:r>
              <w:t xml:space="preserve">Density (</w:t>
            </w:r>
            <m:oMath>
              <m:f>
                <m:fPr>
                  <m:type m:val="bar"/>
                </m:fPr>
                <m:num>
                  <m:r>
                    <m:t>g</m:t>
                  </m:r>
                </m:num>
                <m:den>
                  <m:r>
                    <m:t>c</m:t>
                  </m:r>
                  <m:sSup>
                    <m:e>
                      <m:r>
                        <m:t>m</m:t>
                      </m:r>
                    </m:e>
                    <m:sup>
                      <m:r>
                        <m:t>3</m:t>
                      </m:r>
                    </m:sup>
                  </m:sSup>
                </m:den>
              </m:f>
            </m:oMath>
            <w:r>
              <w:t xml:space="preserve">)</w:t>
            </w:r>
          </w:p>
        </w:tc>
        <w:tc>
          <w:p>
            <w:pPr>
              <w:pStyle w:val="Compact"/>
              <w:jc w:val="center"/>
            </w:pPr>
            <m:oMath>
              <m:sSup>
                <m:e>
                  <m:r>
                    <m:t>​</m:t>
                  </m:r>
                </m:e>
                <m:sup>
                  <m:r>
                    <m:t>210</m:t>
                  </m:r>
                </m:sup>
              </m:sSup>
            </m:oMath>
            <w:r>
              <w:t xml:space="preserve">Pb (</w:t>
            </w:r>
            <m:oMath>
              <m:f>
                <m:fPr>
                  <m:type m:val="bar"/>
                </m:fPr>
                <m:num>
                  <m:r>
                    <m:t>B</m:t>
                  </m:r>
                  <m:r>
                    <m:t>q</m:t>
                  </m:r>
                </m:num>
                <m:den>
                  <m:r>
                    <m:t>k</m:t>
                  </m:r>
                  <m:r>
                    <m:t>g</m:t>
                  </m:r>
                </m:den>
              </m:f>
            </m:oMath>
            <w:r>
              <w:t xml:space="preserve">)</w:t>
            </w:r>
          </w:p>
        </w:tc>
        <w:tc>
          <w:p>
            <w:pPr>
              <w:pStyle w:val="Compact"/>
              <w:jc w:val="center"/>
            </w:pPr>
            <w:r>
              <w:t xml:space="preserve">sd(</w:t>
            </w:r>
            <m:oMath>
              <m:sSup>
                <m:e>
                  <m:r>
                    <m:t>​</m:t>
                  </m:r>
                </m:e>
                <m:sup>
                  <m:r>
                    <m:t>210</m:t>
                  </m:r>
                </m:sup>
              </m:sSup>
            </m:oMath>
            <w:r>
              <w:t xml:space="preserve">Pb)</w:t>
            </w:r>
          </w:p>
        </w:tc>
        <w:tc>
          <w:p>
            <w:pPr>
              <w:pStyle w:val="Compact"/>
              <w:jc w:val="center"/>
            </w:pPr>
            <w:r>
              <w:t xml:space="preserve">Thickness (</w:t>
            </w:r>
            <m:oMath>
              <m:r>
                <m:t>c</m:t>
              </m:r>
              <m:r>
                <m:t>m</m:t>
              </m:r>
            </m:oMath>
            <w:r>
              <w:t xml:space="preserve">)</w:t>
            </w:r>
          </w:p>
        </w:tc>
      </w:tr>
      <w:tr>
        <w:tc>
          <w:p>
            <w:pPr>
              <w:pStyle w:val="Compact"/>
              <w:jc w:val="center"/>
            </w:pPr>
            <w:r>
              <w:t xml:space="preserve">TehuaII-01</w:t>
            </w:r>
          </w:p>
        </w:tc>
        <w:tc>
          <w:p>
            <w:pPr>
              <w:pStyle w:val="Compact"/>
              <w:jc w:val="center"/>
            </w:pPr>
            <w:r>
              <w:t xml:space="preserve">1</w:t>
            </w:r>
          </w:p>
        </w:tc>
        <w:tc>
          <w:p>
            <w:pPr>
              <w:pStyle w:val="Compact"/>
              <w:jc w:val="center"/>
            </w:pPr>
            <w:r>
              <w:t xml:space="preserve">1.071583866</w:t>
            </w:r>
          </w:p>
        </w:tc>
        <w:tc>
          <w:p>
            <w:pPr>
              <w:pStyle w:val="Compact"/>
              <w:jc w:val="center"/>
            </w:pPr>
            <w:r>
              <w:t xml:space="preserve">112.5</w:t>
            </w:r>
          </w:p>
        </w:tc>
        <w:tc>
          <w:p>
            <w:pPr>
              <w:pStyle w:val="Compact"/>
              <w:jc w:val="center"/>
            </w:pPr>
            <w:r>
              <w:t xml:space="preserve">5.8</w:t>
            </w:r>
          </w:p>
        </w:tc>
        <w:tc>
          <w:p>
            <w:pPr>
              <w:pStyle w:val="Compact"/>
              <w:jc w:val="center"/>
            </w:pPr>
            <w:r>
              <w:t xml:space="preserve">1</w:t>
            </w:r>
          </w:p>
        </w:tc>
      </w:tr>
      <w:tr>
        <w:tc>
          <w:p>
            <w:pPr>
              <w:pStyle w:val="Compact"/>
              <w:jc w:val="center"/>
            </w:pPr>
            <w:r>
              <w:t xml:space="preserve">TehuaII-02</w:t>
            </w:r>
          </w:p>
        </w:tc>
        <w:tc>
          <w:p>
            <w:pPr>
              <w:pStyle w:val="Compact"/>
              <w:jc w:val="center"/>
            </w:pPr>
            <w:r>
              <w:t xml:space="preserve">2</w:t>
            </w:r>
          </w:p>
        </w:tc>
        <w:tc>
          <w:p>
            <w:pPr>
              <w:pStyle w:val="Compact"/>
              <w:jc w:val="center"/>
            </w:pPr>
            <w:r>
              <w:t xml:space="preserve">0.973213378</w:t>
            </w:r>
          </w:p>
        </w:tc>
        <w:tc>
          <w:p>
            <w:pPr>
              <w:pStyle w:val="Compact"/>
              <w:jc w:val="center"/>
            </w:pPr>
            <w:r>
              <w:t xml:space="preserve">108.4</w:t>
            </w:r>
          </w:p>
        </w:tc>
        <w:tc>
          <w:p>
            <w:pPr>
              <w:pStyle w:val="Compact"/>
              <w:jc w:val="center"/>
            </w:pPr>
            <w:r>
              <w:t xml:space="preserve">5.7</w:t>
            </w:r>
          </w:p>
        </w:tc>
        <w:tc>
          <w:p>
            <w:pPr>
              <w:pStyle w:val="Compact"/>
              <w:jc w:val="center"/>
            </w:pPr>
            <w:r>
              <w:t xml:space="preserve">1</w:t>
            </w:r>
          </w:p>
        </w:tc>
      </w:tr>
      <w:tr>
        <w:tc>
          <w:p>
            <w:pPr>
              <w:pStyle w:val="Compact"/>
              <w:jc w:val="center"/>
            </w:pPr>
            <w:r>
              <w:t xml:space="preserve">TehuaII-03</w:t>
            </w:r>
          </w:p>
        </w:tc>
        <w:tc>
          <w:p>
            <w:pPr>
              <w:pStyle w:val="Compact"/>
              <w:jc w:val="center"/>
            </w:pPr>
            <w:r>
              <w:t xml:space="preserve">3</w:t>
            </w:r>
          </w:p>
        </w:tc>
        <w:tc>
          <w:p>
            <w:pPr>
              <w:pStyle w:val="Compact"/>
              <w:jc w:val="center"/>
            </w:pPr>
            <w:r>
              <w:t xml:space="preserve">1.121380264</w:t>
            </w:r>
          </w:p>
        </w:tc>
        <w:tc>
          <w:p>
            <w:pPr>
              <w:pStyle w:val="Compact"/>
              <w:jc w:val="center"/>
            </w:pPr>
            <w:r>
              <w:t xml:space="preserve">102.4</w:t>
            </w:r>
          </w:p>
        </w:tc>
        <w:tc>
          <w:p>
            <w:pPr>
              <w:pStyle w:val="Compact"/>
              <w:jc w:val="center"/>
            </w:pPr>
            <w:r>
              <w:t xml:space="preserve">5.4</w:t>
            </w:r>
          </w:p>
        </w:tc>
        <w:tc>
          <w:p>
            <w:pPr>
              <w:pStyle w:val="Compact"/>
              <w:jc w:val="center"/>
            </w:pPr>
            <w:r>
              <w:t xml:space="preserve">1</w:t>
            </w:r>
          </w:p>
        </w:tc>
      </w:tr>
      <w:tr>
        <w:tc>
          <w:p>
            <w:pPr>
              <w:pStyle w:val="Compact"/>
              <w:jc w:val="center"/>
            </w:pPr>
            <w:r>
              <w:t xml:space="preserve">TehuaII-04</w:t>
            </w:r>
          </w:p>
        </w:tc>
        <w:tc>
          <w:p>
            <w:pPr>
              <w:pStyle w:val="Compact"/>
              <w:jc w:val="center"/>
            </w:pPr>
            <w:r>
              <w:t xml:space="preserve">4</w:t>
            </w:r>
          </w:p>
        </w:tc>
        <w:tc>
          <w:p>
            <w:pPr>
              <w:pStyle w:val="Compact"/>
              <w:jc w:val="center"/>
            </w:pPr>
            <w:r>
              <w:t xml:space="preserve">1.732484316</w:t>
            </w:r>
          </w:p>
        </w:tc>
        <w:tc>
          <w:p>
            <w:pPr>
              <w:pStyle w:val="Compact"/>
              <w:jc w:val="center"/>
            </w:pPr>
            <w:r>
              <w:t xml:space="preserve">103.4</w:t>
            </w:r>
          </w:p>
        </w:tc>
        <w:tc>
          <w:p>
            <w:pPr>
              <w:pStyle w:val="Compact"/>
              <w:jc w:val="center"/>
            </w:pPr>
            <w:r>
              <w:t xml:space="preserve">5.4</w:t>
            </w:r>
          </w:p>
        </w:tc>
        <w:tc>
          <w:p>
            <w:pPr>
              <w:pStyle w:val="Compact"/>
              <w:jc w:val="center"/>
            </w:pPr>
            <w:r>
              <w:t xml:space="preserve">1</w:t>
            </w:r>
          </w:p>
        </w:tc>
      </w:tr>
      <w:tr>
        <w:tc>
          <w:p>
            <w:pPr>
              <w:pStyle w:val="Compact"/>
              <w:jc w:val="center"/>
            </w:pPr>
            <w:r>
              <w:t xml:space="preserve">TehuaII-05</w:t>
            </w:r>
          </w:p>
        </w:tc>
        <w:tc>
          <w:p>
            <w:pPr>
              <w:pStyle w:val="Compact"/>
              <w:jc w:val="center"/>
            </w:pPr>
            <w:r>
              <w:t xml:space="preserve">5</w:t>
            </w:r>
          </w:p>
        </w:tc>
        <w:tc>
          <w:p>
            <w:pPr>
              <w:pStyle w:val="Compact"/>
              <w:jc w:val="center"/>
            </w:pPr>
            <w:r>
              <w:t xml:space="preserve">1.263766643</w:t>
            </w:r>
          </w:p>
        </w:tc>
        <w:tc>
          <w:p>
            <w:pPr>
              <w:pStyle w:val="Compact"/>
              <w:jc w:val="center"/>
            </w:pPr>
            <w:r>
              <w:t xml:space="preserve">92.9</w:t>
            </w:r>
          </w:p>
        </w:tc>
        <w:tc>
          <w:p>
            <w:pPr>
              <w:pStyle w:val="Compact"/>
              <w:jc w:val="center"/>
            </w:pPr>
            <w:r>
              <w:t xml:space="preserve">5</w:t>
            </w:r>
          </w:p>
        </w:tc>
        <w:tc>
          <w:p>
            <w:pPr>
              <w:pStyle w:val="Compact"/>
              <w:jc w:val="center"/>
            </w:pPr>
            <w:r>
              <w:t xml:space="preserve">1</w:t>
            </w:r>
          </w:p>
        </w:tc>
      </w:tr>
      <w:tr>
        <w:tc>
          <w:p>
            <w:pPr>
              <w:pStyle w:val="Compact"/>
              <w:jc w:val="center"/>
            </w:pPr>
            <w:r>
              <w:t xml:space="preserve">TehuaII-06</w:t>
            </w:r>
          </w:p>
        </w:tc>
        <w:tc>
          <w:p>
            <w:pPr>
              <w:pStyle w:val="Compact"/>
              <w:jc w:val="center"/>
            </w:pPr>
            <w:r>
              <w:t xml:space="preserve">6</w:t>
            </w:r>
          </w:p>
        </w:tc>
        <w:tc>
          <w:p>
            <w:pPr>
              <w:pStyle w:val="Compact"/>
              <w:jc w:val="center"/>
            </w:pPr>
            <w:r>
              <w:t xml:space="preserve">1.135424096</w:t>
            </w:r>
          </w:p>
        </w:tc>
        <w:tc>
          <w:p>
            <w:pPr>
              <w:pStyle w:val="Compact"/>
              <w:jc w:val="center"/>
            </w:pPr>
            <w:r>
              <w:t xml:space="preserve">86.6</w:t>
            </w:r>
          </w:p>
        </w:tc>
        <w:tc>
          <w:p>
            <w:pPr>
              <w:pStyle w:val="Compact"/>
              <w:jc w:val="center"/>
            </w:pPr>
            <w:r>
              <w:t xml:space="preserve">4.8</w:t>
            </w:r>
          </w:p>
        </w:tc>
        <w:tc>
          <w:p>
            <w:pPr>
              <w:pStyle w:val="Compact"/>
              <w:jc w:val="center"/>
            </w:pPr>
            <w:r>
              <w:t xml:space="preserve">1</w:t>
            </w:r>
          </w:p>
        </w:tc>
      </w:tr>
      <w:tr>
        <w:tc>
          <w:p>
            <w:pPr>
              <w:pStyle w:val="Compact"/>
              <w:jc w:val="center"/>
            </w:pPr>
            <w:r>
              <w:t xml:space="preserve">TehuaII-07</w:t>
            </w:r>
          </w:p>
        </w:tc>
        <w:tc>
          <w:p>
            <w:pPr>
              <w:pStyle w:val="Compact"/>
              <w:jc w:val="center"/>
            </w:pPr>
            <w:r>
              <w:t xml:space="preserve">7</w:t>
            </w:r>
          </w:p>
        </w:tc>
        <w:tc>
          <w:p>
            <w:pPr>
              <w:pStyle w:val="Compact"/>
              <w:jc w:val="center"/>
            </w:pPr>
            <w:r>
              <w:t xml:space="preserve">2.085680966</w:t>
            </w:r>
          </w:p>
        </w:tc>
        <w:tc>
          <w:p>
            <w:pPr>
              <w:pStyle w:val="Compact"/>
              <w:jc w:val="center"/>
            </w:pPr>
            <w:r>
              <w:t xml:space="preserve">70.3</w:t>
            </w:r>
          </w:p>
        </w:tc>
        <w:tc>
          <w:p>
            <w:pPr>
              <w:pStyle w:val="Compact"/>
              <w:jc w:val="center"/>
            </w:pPr>
            <w:r>
              <w:t xml:space="preserve">3.9</w:t>
            </w:r>
          </w:p>
        </w:tc>
        <w:tc>
          <w:p>
            <w:pPr>
              <w:pStyle w:val="Compact"/>
              <w:jc w:val="center"/>
            </w:pPr>
            <w:r>
              <w:t xml:space="preserve">1</w:t>
            </w:r>
          </w:p>
        </w:tc>
      </w:tr>
      <w:tr>
        <w:tc>
          <w:p>
            <w:pPr>
              <w:pStyle w:val="Compact"/>
              <w:jc w:val="center"/>
            </w:pPr>
            <w:r>
              <w:t xml:space="preserve">TehuaII-08</w:t>
            </w:r>
          </w:p>
        </w:tc>
        <w:tc>
          <w:p>
            <w:pPr>
              <w:pStyle w:val="Compact"/>
              <w:jc w:val="center"/>
            </w:pPr>
            <w:r>
              <w:t xml:space="preserve">8</w:t>
            </w:r>
          </w:p>
        </w:tc>
        <w:tc>
          <w:p>
            <w:pPr>
              <w:pStyle w:val="Compact"/>
              <w:jc w:val="center"/>
            </w:pPr>
            <w:r>
              <w:t xml:space="preserve">1.211092723</w:t>
            </w:r>
          </w:p>
        </w:tc>
        <w:tc>
          <w:p>
            <w:pPr>
              <w:pStyle w:val="Compact"/>
              <w:jc w:val="center"/>
            </w:pPr>
            <w:r>
              <w:t xml:space="preserve">51</w:t>
            </w:r>
          </w:p>
        </w:tc>
        <w:tc>
          <w:p>
            <w:pPr>
              <w:pStyle w:val="Compact"/>
              <w:jc w:val="center"/>
            </w:pPr>
            <w:r>
              <w:t xml:space="preserve">3</w:t>
            </w:r>
          </w:p>
        </w:tc>
        <w:tc>
          <w:p>
            <w:pPr>
              <w:pStyle w:val="Compact"/>
              <w:jc w:val="center"/>
            </w:pPr>
            <w:r>
              <w:t xml:space="preserve">1</w:t>
            </w:r>
          </w:p>
        </w:tc>
      </w:tr>
      <w:tr>
        <w:tc>
          <w:p>
            <w:pPr>
              <w:pStyle w:val="Compact"/>
              <w:jc w:val="center"/>
            </w:pPr>
            <w:r>
              <w:t xml:space="preserve">TehuaII-09</w:t>
            </w:r>
          </w:p>
        </w:tc>
        <w:tc>
          <w:p>
            <w:pPr>
              <w:pStyle w:val="Compact"/>
              <w:jc w:val="center"/>
            </w:pPr>
            <w:r>
              <w:t xml:space="preserve">9</w:t>
            </w:r>
          </w:p>
        </w:tc>
        <w:tc>
          <w:p>
            <w:pPr>
              <w:pStyle w:val="Compact"/>
              <w:jc w:val="center"/>
            </w:pPr>
            <w:r>
              <w:t xml:space="preserve">1.339040564</w:t>
            </w:r>
          </w:p>
        </w:tc>
        <w:tc>
          <w:p>
            <w:pPr>
              <w:pStyle w:val="Compact"/>
              <w:jc w:val="center"/>
            </w:pPr>
            <w:r>
              <w:t xml:space="preserve">45.7</w:t>
            </w:r>
          </w:p>
        </w:tc>
        <w:tc>
          <w:p>
            <w:pPr>
              <w:pStyle w:val="Compact"/>
              <w:jc w:val="center"/>
            </w:pPr>
            <w:r>
              <w:t xml:space="preserve">2.8</w:t>
            </w:r>
          </w:p>
        </w:tc>
        <w:tc>
          <w:p>
            <w:pPr>
              <w:pStyle w:val="Compact"/>
              <w:jc w:val="center"/>
            </w:pPr>
            <w:r>
              <w:t xml:space="preserve">1</w:t>
            </w:r>
          </w:p>
        </w:tc>
      </w:tr>
      <w:tr>
        <w:tc>
          <w:p>
            <w:pPr>
              <w:pStyle w:val="Compact"/>
              <w:jc w:val="center"/>
            </w:pPr>
            <w:r>
              <w:t xml:space="preserve">TehuaII-10</w:t>
            </w:r>
          </w:p>
        </w:tc>
        <w:tc>
          <w:p>
            <w:pPr>
              <w:pStyle w:val="Compact"/>
              <w:jc w:val="center"/>
            </w:pPr>
            <w:r>
              <w:t xml:space="preserve">10</w:t>
            </w:r>
          </w:p>
        </w:tc>
        <w:tc>
          <w:p>
            <w:pPr>
              <w:pStyle w:val="Compact"/>
              <w:jc w:val="center"/>
            </w:pPr>
            <w:r>
              <w:t xml:space="preserve">2.199381257</w:t>
            </w:r>
          </w:p>
        </w:tc>
        <w:tc>
          <w:p>
            <w:pPr>
              <w:pStyle w:val="Compact"/>
              <w:jc w:val="center"/>
            </w:pPr>
            <w:r>
              <w:t xml:space="preserve">43.6</w:t>
            </w:r>
          </w:p>
        </w:tc>
        <w:tc>
          <w:p>
            <w:pPr>
              <w:pStyle w:val="Compact"/>
              <w:jc w:val="center"/>
            </w:pPr>
            <w:r>
              <w:t xml:space="preserve">2.6</w:t>
            </w:r>
          </w:p>
        </w:tc>
        <w:tc>
          <w:p>
            <w:pPr>
              <w:pStyle w:val="Compact"/>
              <w:jc w:val="center"/>
            </w:pPr>
            <w:r>
              <w:t xml:space="preserve">1</w:t>
            </w:r>
          </w:p>
        </w:tc>
      </w:tr>
      <w:tr>
        <w:tc>
          <w:p>
            <w:pPr>
              <w:pStyle w:val="Compact"/>
              <w:jc w:val="center"/>
            </w:pPr>
            <w:r>
              <w:t xml:space="preserve">TehuaII-11</w:t>
            </w:r>
          </w:p>
        </w:tc>
        <w:tc>
          <w:p>
            <w:pPr>
              <w:pStyle w:val="Compact"/>
              <w:jc w:val="center"/>
            </w:pPr>
            <w:r>
              <w:t xml:space="preserve">11</w:t>
            </w:r>
          </w:p>
        </w:tc>
        <w:tc>
          <w:p>
            <w:pPr>
              <w:pStyle w:val="Compact"/>
              <w:jc w:val="center"/>
            </w:pPr>
            <w:r>
              <w:t xml:space="preserve">1.397469527</w:t>
            </w:r>
          </w:p>
        </w:tc>
        <w:tc>
          <w:p>
            <w:pPr>
              <w:pStyle w:val="Compact"/>
              <w:jc w:val="center"/>
            </w:pPr>
            <w:r>
              <w:t xml:space="preserve">39.7</w:t>
            </w:r>
          </w:p>
        </w:tc>
        <w:tc>
          <w:p>
            <w:pPr>
              <w:pStyle w:val="Compact"/>
              <w:jc w:val="center"/>
            </w:pPr>
            <w:r>
              <w:t xml:space="preserve">2.4</w:t>
            </w:r>
          </w:p>
        </w:tc>
        <w:tc>
          <w:p>
            <w:pPr>
              <w:pStyle w:val="Compact"/>
              <w:jc w:val="center"/>
            </w:pPr>
            <w:r>
              <w:t xml:space="preserve">1</w:t>
            </w:r>
          </w:p>
        </w:tc>
      </w:tr>
      <w:tr>
        <w:tc>
          <w:p>
            <w:pPr>
              <w:pStyle w:val="Compact"/>
              <w:jc w:val="center"/>
            </w:pPr>
            <w:r>
              <w:t xml:space="preserve">TehuaII-12</w:t>
            </w:r>
          </w:p>
        </w:tc>
        <w:tc>
          <w:p>
            <w:pPr>
              <w:pStyle w:val="Compact"/>
              <w:jc w:val="center"/>
            </w:pPr>
            <w:r>
              <w:t xml:space="preserve">12</w:t>
            </w:r>
          </w:p>
        </w:tc>
        <w:tc>
          <w:p>
            <w:pPr>
              <w:pStyle w:val="Compact"/>
              <w:jc w:val="center"/>
            </w:pPr>
            <w:r>
              <w:t xml:space="preserve">1.280204165</w:t>
            </w:r>
          </w:p>
        </w:tc>
        <w:tc>
          <w:p>
            <w:pPr>
              <w:pStyle w:val="Compact"/>
              <w:jc w:val="center"/>
            </w:pPr>
            <w:r>
              <w:t xml:space="preserve">34.2</w:t>
            </w:r>
          </w:p>
        </w:tc>
        <w:tc>
          <w:p>
            <w:pPr>
              <w:pStyle w:val="Compact"/>
              <w:jc w:val="center"/>
            </w:pPr>
            <w:r>
              <w:t xml:space="preserve">2.1</w:t>
            </w:r>
          </w:p>
        </w:tc>
        <w:tc>
          <w:p>
            <w:pPr>
              <w:pStyle w:val="Compact"/>
              <w:jc w:val="center"/>
            </w:pPr>
            <w:r>
              <w:t xml:space="preserve">1</w:t>
            </w:r>
          </w:p>
        </w:tc>
      </w:tr>
      <w:tr>
        <w:tc>
          <w:p>
            <w:pPr>
              <w:pStyle w:val="Compact"/>
              <w:jc w:val="center"/>
            </w:pPr>
            <w:r>
              <w:t xml:space="preserve">TehuaII-13</w:t>
            </w:r>
          </w:p>
        </w:tc>
        <w:tc>
          <w:p>
            <w:pPr>
              <w:pStyle w:val="Compact"/>
              <w:jc w:val="center"/>
            </w:pPr>
            <w:r>
              <w:t xml:space="preserve">13</w:t>
            </w:r>
          </w:p>
        </w:tc>
        <w:tc>
          <w:p>
            <w:pPr>
              <w:pStyle w:val="Compact"/>
              <w:jc w:val="center"/>
            </w:pPr>
            <w:r>
              <w:t xml:space="preserve">1.516059058</w:t>
            </w:r>
          </w:p>
        </w:tc>
        <w:tc>
          <w:p>
            <w:pPr>
              <w:pStyle w:val="Compact"/>
              <w:jc w:val="center"/>
            </w:pPr>
            <w:r>
              <w:t xml:space="preserve">28</w:t>
            </w:r>
          </w:p>
        </w:tc>
        <w:tc>
          <w:p>
            <w:pPr>
              <w:pStyle w:val="Compact"/>
              <w:jc w:val="center"/>
            </w:pPr>
            <w:r>
              <w:t xml:space="preserve">1.8</w:t>
            </w:r>
          </w:p>
        </w:tc>
        <w:tc>
          <w:p>
            <w:pPr>
              <w:pStyle w:val="Compact"/>
              <w:jc w:val="center"/>
            </w:pPr>
            <w:r>
              <w:t xml:space="preserve">1</w:t>
            </w:r>
          </w:p>
        </w:tc>
      </w:tr>
      <w:tr>
        <w:tc>
          <w:p>
            <w:pPr>
              <w:pStyle w:val="Compact"/>
              <w:jc w:val="center"/>
            </w:pPr>
            <w:r>
              <w:t xml:space="preserve">TehuaII-14</w:t>
            </w:r>
          </w:p>
        </w:tc>
        <w:tc>
          <w:p>
            <w:pPr>
              <w:pStyle w:val="Compact"/>
              <w:jc w:val="center"/>
            </w:pPr>
            <w:r>
              <w:t xml:space="preserve">14</w:t>
            </w:r>
          </w:p>
        </w:tc>
        <w:tc>
          <w:p>
            <w:pPr>
              <w:pStyle w:val="Compact"/>
              <w:jc w:val="center"/>
            </w:pPr>
            <w:r>
              <w:t xml:space="preserve">1.456445983</w:t>
            </w:r>
          </w:p>
        </w:tc>
        <w:tc>
          <w:p>
            <w:pPr>
              <w:pStyle w:val="Compact"/>
              <w:jc w:val="center"/>
            </w:pPr>
            <w:r>
              <w:t xml:space="preserve">23.9</w:t>
            </w:r>
          </w:p>
        </w:tc>
        <w:tc>
          <w:p>
            <w:pPr>
              <w:pStyle w:val="Compact"/>
              <w:jc w:val="center"/>
            </w:pPr>
            <w:r>
              <w:t xml:space="preserve">1.5</w:t>
            </w:r>
          </w:p>
        </w:tc>
        <w:tc>
          <w:p>
            <w:pPr>
              <w:pStyle w:val="Compact"/>
              <w:jc w:val="center"/>
            </w:pPr>
            <w:r>
              <w:t xml:space="preserve">1</w:t>
            </w:r>
          </w:p>
        </w:tc>
      </w:tr>
      <w:tr>
        <w:tc>
          <w:p>
            <w:pPr>
              <w:pStyle w:val="Compact"/>
              <w:jc w:val="center"/>
            </w:pPr>
            <w:r>
              <w:t xml:space="preserve">TehuaII-15</w:t>
            </w:r>
          </w:p>
        </w:tc>
        <w:tc>
          <w:p>
            <w:pPr>
              <w:pStyle w:val="Compact"/>
              <w:jc w:val="center"/>
            </w:pPr>
            <w:r>
              <w:t xml:space="preserve">15</w:t>
            </w:r>
          </w:p>
        </w:tc>
        <w:tc>
          <w:p>
            <w:pPr>
              <w:pStyle w:val="Compact"/>
              <w:jc w:val="center"/>
            </w:pPr>
            <w:r>
              <w:t xml:space="preserve">1.42113905</w:t>
            </w:r>
          </w:p>
        </w:tc>
        <w:tc>
          <w:p>
            <w:pPr>
              <w:pStyle w:val="Compact"/>
              <w:jc w:val="center"/>
            </w:pPr>
            <w:r>
              <w:t xml:space="preserve">20.5</w:t>
            </w:r>
          </w:p>
        </w:tc>
        <w:tc>
          <w:p>
            <w:pPr>
              <w:pStyle w:val="Compact"/>
              <w:jc w:val="center"/>
            </w:pPr>
            <w:r>
              <w:t xml:space="preserve">1.4</w:t>
            </w:r>
          </w:p>
        </w:tc>
        <w:tc>
          <w:p>
            <w:pPr>
              <w:pStyle w:val="Compact"/>
              <w:jc w:val="center"/>
            </w:pPr>
            <w:r>
              <w:t xml:space="preserve">1</w:t>
            </w:r>
          </w:p>
        </w:tc>
      </w:tr>
      <w:tr>
        <w:tc>
          <w:p>
            <w:pPr>
              <w:pStyle w:val="Compact"/>
              <w:jc w:val="center"/>
            </w:pPr>
            <w:r>
              <w:t xml:space="preserve">TehuaII-16</w:t>
            </w:r>
          </w:p>
        </w:tc>
        <w:tc>
          <w:p>
            <w:pPr>
              <w:pStyle w:val="Compact"/>
              <w:jc w:val="center"/>
            </w:pPr>
            <w:r>
              <w:t xml:space="preserve">16</w:t>
            </w:r>
          </w:p>
        </w:tc>
        <w:tc>
          <w:p>
            <w:pPr>
              <w:pStyle w:val="Compact"/>
              <w:jc w:val="center"/>
            </w:pPr>
            <w:r>
              <w:t xml:space="preserve">1.443497137</w:t>
            </w:r>
          </w:p>
        </w:tc>
        <w:tc>
          <w:p>
            <w:pPr>
              <w:pStyle w:val="Compact"/>
              <w:jc w:val="center"/>
            </w:pPr>
            <w:r>
              <w:t xml:space="preserve">17.1</w:t>
            </w:r>
          </w:p>
        </w:tc>
        <w:tc>
          <w:p>
            <w:pPr>
              <w:pStyle w:val="Compact"/>
              <w:jc w:val="center"/>
            </w:pPr>
            <w:r>
              <w:t xml:space="preserve">1.3</w:t>
            </w:r>
          </w:p>
        </w:tc>
        <w:tc>
          <w:p>
            <w:pPr>
              <w:pStyle w:val="Compact"/>
              <w:jc w:val="center"/>
            </w:pPr>
            <w:r>
              <w:t xml:space="preserve">1</w:t>
            </w:r>
          </w:p>
        </w:tc>
      </w:tr>
      <w:tr>
        <w:tc>
          <w:p>
            <w:pPr>
              <w:pStyle w:val="Compact"/>
              <w:jc w:val="center"/>
            </w:pPr>
            <w:r>
              <w:t xml:space="preserve">TehuaII-17</w:t>
            </w:r>
          </w:p>
        </w:tc>
        <w:tc>
          <w:p>
            <w:pPr>
              <w:pStyle w:val="Compact"/>
              <w:jc w:val="center"/>
            </w:pPr>
            <w:r>
              <w:t xml:space="preserve">17</w:t>
            </w:r>
          </w:p>
        </w:tc>
        <w:tc>
          <w:p>
            <w:pPr>
              <w:pStyle w:val="Compact"/>
              <w:jc w:val="center"/>
            </w:pPr>
            <w:r>
              <w:t xml:space="preserve">0.451885447</w:t>
            </w:r>
          </w:p>
        </w:tc>
        <w:tc>
          <w:p>
            <w:pPr>
              <w:pStyle w:val="Compact"/>
              <w:jc w:val="center"/>
            </w:pPr>
            <w:r>
              <w:t xml:space="preserve">14.4</w:t>
            </w:r>
          </w:p>
        </w:tc>
        <w:tc>
          <w:p>
            <w:pPr>
              <w:pStyle w:val="Compact"/>
              <w:jc w:val="center"/>
            </w:pPr>
            <w:r>
              <w:t xml:space="preserve">1</w:t>
            </w:r>
          </w:p>
        </w:tc>
        <w:tc>
          <w:p>
            <w:pPr>
              <w:pStyle w:val="Compact"/>
              <w:jc w:val="center"/>
            </w:pPr>
            <w:r>
              <w:t xml:space="preserve">1</w:t>
            </w:r>
          </w:p>
        </w:tc>
      </w:tr>
      <w:tr>
        <w:tc>
          <w:p>
            <w:pPr>
              <w:pStyle w:val="Compact"/>
              <w:jc w:val="center"/>
            </w:pPr>
            <w:r>
              <w:t xml:space="preserve">TehuaII-18</w:t>
            </w:r>
          </w:p>
        </w:tc>
        <w:tc>
          <w:p>
            <w:pPr>
              <w:pStyle w:val="Compact"/>
              <w:jc w:val="center"/>
            </w:pPr>
            <w:r>
              <w:t xml:space="preserve">18</w:t>
            </w:r>
          </w:p>
        </w:tc>
        <w:tc>
          <w:p>
            <w:pPr>
              <w:pStyle w:val="Compact"/>
              <w:jc w:val="center"/>
            </w:pPr>
            <w:r>
              <w:t xml:space="preserve">0.630431828</w:t>
            </w:r>
          </w:p>
        </w:tc>
        <w:tc>
          <w:p>
            <w:pPr>
              <w:pStyle w:val="Compact"/>
              <w:jc w:val="center"/>
            </w:pPr>
            <w:r>
              <w:t xml:space="preserve">15.7</w:t>
            </w:r>
          </w:p>
        </w:tc>
        <w:tc>
          <w:p>
            <w:pPr>
              <w:pStyle w:val="Compact"/>
              <w:jc w:val="center"/>
            </w:pPr>
            <w:r>
              <w:t xml:space="preserve">1</w:t>
            </w:r>
          </w:p>
        </w:tc>
        <w:tc>
          <w:p>
            <w:pPr>
              <w:pStyle w:val="Compact"/>
              <w:jc w:val="center"/>
            </w:pPr>
            <w:r>
              <w:t xml:space="preserve">1</w:t>
            </w:r>
          </w:p>
        </w:tc>
      </w:tr>
    </w:tbl>
    <w:bookmarkEnd w:id="30"/>
    <w:bookmarkEnd w:id="31"/>
    <w:bookmarkStart w:id="32" w:name="cic"/>
    <w:p>
      <w:pPr>
        <w:pStyle w:val="Heading2"/>
      </w:pPr>
      <w:r>
        <w:t xml:space="preserve">CIC</w:t>
      </w:r>
    </w:p>
    <w:p>
      <w:pPr>
        <w:pStyle w:val="FirstParagraph"/>
      </w:pPr>
      <w:r>
        <w:t xml:space="preserve">The Constant Initial Concentration model (CIC)</w:t>
      </w:r>
      <w:r>
        <w:t xml:space="preserve"> </w:t>
      </w:r>
      <w:r>
        <w:t xml:space="preserve">[@Goldberg1963; @Crozaz1964; @Robbins1978]</w:t>
      </w:r>
      <w:r>
        <w:t xml:space="preserve">, this model assumes that the inicial concentration at any layer of the sediment is the same.</w:t>
      </w:r>
      <w:r>
        <w:t xml:space="preserve"> </w:t>
      </w:r>
      <w:r>
        <w:t xml:space="preserve">With this assumption, we can define the initial concentration of any layer as</w:t>
      </w:r>
      <w:r>
        <w:t xml:space="preserve"> </w:t>
      </w:r>
      <m:oMath>
        <m:sSubSup>
          <m:e>
            <m:r>
              <m:t>P</m:t>
            </m:r>
          </m:e>
          <m:sub>
            <m:r>
              <m:t>0</m:t>
            </m:r>
          </m:sub>
          <m:sup>
            <m:r>
              <m:t>U</m:t>
            </m:r>
          </m:sup>
        </m:sSubSup>
        <m:r>
          <m:rPr>
            <m:sty m:val="p"/>
          </m:rPr>
          <m:t>=</m:t>
        </m:r>
        <m:r>
          <m:t>C</m:t>
        </m:r>
        <m:r>
          <m:t>o</m:t>
        </m:r>
        <m:r>
          <m:t>n</m:t>
        </m:r>
        <m:r>
          <m:t>s</m:t>
        </m:r>
        <m:r>
          <m:t>t</m:t>
        </m:r>
        <m:r>
          <m:t>a</m:t>
        </m:r>
        <m:r>
          <m:t>n</m:t>
        </m:r>
        <m:r>
          <m:t>t</m:t>
        </m:r>
      </m:oMath>
      <w:r>
        <w:t xml:space="preserve">, by directly using the decay equation the age of any depth as,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f>
                  <m:fPr>
                    <m:type m:val="bar"/>
                  </m:fPr>
                  <m:num>
                    <m:r>
                      <m:t>1</m:t>
                    </m:r>
                  </m:num>
                  <m:den>
                    <m:r>
                      <m:t>λ</m:t>
                    </m:r>
                  </m:den>
                </m:f>
                <m:r>
                  <m:rPr>
                    <m:nor/>
                    <m:sty m:val="p"/>
                  </m:rPr>
                  <m:t>log</m:t>
                </m:r>
                <m:d>
                  <m:dPr>
                    <m:begChr m:val="("/>
                    <m:endChr m:val=")"/>
                    <m:grow/>
                  </m:dPr>
                  <m:e>
                    <m:f>
                      <m:fPr>
                        <m:type m:val="bar"/>
                      </m:fPr>
                      <m:num>
                        <m:sSubSup>
                          <m:e>
                            <m:r>
                              <m:t>P</m:t>
                            </m:r>
                          </m:e>
                          <m:sub>
                            <m:r>
                              <m:t>0</m:t>
                            </m:r>
                          </m:sub>
                          <m:sup>
                            <m:r>
                              <m:t>U</m:t>
                            </m:r>
                          </m:sup>
                        </m:sSubSup>
                      </m:num>
                      <m:den>
                        <m:sSubSup>
                          <m:e>
                            <m:r>
                              <m:t>P</m:t>
                            </m:r>
                          </m:e>
                          <m:sub>
                            <m:r>
                              <m:t>i</m:t>
                            </m:r>
                          </m:sub>
                          <m:sup>
                            <m:r>
                              <m:t>U</m:t>
                            </m:r>
                          </m:sup>
                        </m:sSubSup>
                      </m:den>
                    </m:f>
                  </m:e>
                </m:d>
              </m:e>
            </m:mr>
          </m:m>
        </m:oMath>
      </m:oMathPara>
    </w:p>
    <w:p>
      <w:pPr>
        <w:pStyle w:val="FirstParagraph"/>
      </w:pPr>
      <w:r>
        <w:t xml:space="preserve">where</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r>
        <w:t xml:space="preserve"> </w:t>
      </w:r>
      <m:oMath>
        <m:sSubSup>
          <m:e>
            <m:r>
              <m:t>P</m:t>
            </m:r>
          </m:e>
          <m:sub>
            <m:r>
              <m:t>0</m:t>
            </m:r>
          </m:sub>
          <m:sup>
            <m:r>
              <m:t>U</m:t>
            </m:r>
          </m:sup>
        </m:sSubSup>
      </m:oMath>
      <w:r>
        <w:t xml:space="preserve"> </w:t>
      </w:r>
      <w:r>
        <w:t xml:space="preserve">and</w:t>
      </w:r>
      <w:r>
        <w:t xml:space="preserve"> </w:t>
      </w:r>
      <m:oMath>
        <m:sSubSup>
          <m:e>
            <m:r>
              <m:t>P</m:t>
            </m:r>
          </m:e>
          <m:sub>
            <m:r>
              <m:t>i</m:t>
            </m:r>
          </m:sub>
          <m:sup>
            <m:r>
              <m:t>U</m:t>
            </m:r>
          </m:sup>
        </m:sSubSup>
      </m:oMath>
      <w:r>
        <w:t xml:space="preserve"> </w:t>
      </w:r>
      <w:r>
        <w:t xml:space="preserve">are the inicial</w:t>
      </w:r>
      <w:r>
        <w:t xml:space="preserve"> </w:t>
      </w:r>
      <m:oMath>
        <m:sSup>
          <m:e>
            <m:r>
              <m:t>​</m:t>
            </m:r>
          </m:e>
          <m:sup>
            <m:r>
              <m:t>210</m:t>
            </m:r>
          </m:sup>
        </m:sSup>
      </m:oMath>
      <w:r>
        <w:t xml:space="preserve">Pb concentration and measured concentration of layer</w:t>
      </w:r>
      <w:r>
        <w:t xml:space="preserve"> </w:t>
      </w:r>
      <m:oMath>
        <m:r>
          <m:t>i</m:t>
        </m:r>
      </m:oMath>
      <w:r>
        <w:t xml:space="preserve"> </w:t>
      </w:r>
      <w:r>
        <w:t xml:space="preserve">respectively.</w:t>
      </w:r>
    </w:p>
    <w:p>
      <w:pPr>
        <w:pStyle w:val="BodyText"/>
      </w:pPr>
      <w:r>
        <w:t xml:space="preserve">As we can observe this model does not take into account any fluctuation in the influx of</w:t>
      </w:r>
      <w:r>
        <w:t xml:space="preserve"> </w:t>
      </w:r>
      <m:oMath>
        <m:sSup>
          <m:e>
            <m:r>
              <m:t>​</m:t>
            </m:r>
          </m:e>
          <m:sup>
            <m:r>
              <m:t>210</m:t>
            </m:r>
          </m:sup>
        </m:sSup>
      </m:oMath>
      <w:r>
        <w:t xml:space="preserve">Pb to the sediment.</w:t>
      </w:r>
      <w:r>
        <w:t xml:space="preserve"> </w:t>
      </w:r>
      <w:r>
        <w:t xml:space="preserve">This assumption is particularly strong as</w:t>
      </w:r>
      <w:r>
        <w:t xml:space="preserve"> </w:t>
      </w:r>
      <m:oMath>
        <m:sSup>
          <m:e>
            <m:r>
              <m:t>​</m:t>
            </m:r>
          </m:e>
          <m:sup>
            <m:r>
              <m:t>210</m:t>
            </m:r>
          </m:sup>
        </m:sSup>
      </m:oMath>
      <w:r>
        <w:t xml:space="preserve">Pb influx (Buscar una cita).</w:t>
      </w:r>
      <w:r>
        <w:t xml:space="preserve"> </w:t>
      </w:r>
      <w:r>
        <w:t xml:space="preserve">As Figure</w:t>
      </w:r>
      <w:r>
        <w:t xml:space="preserve"> </w:t>
      </w:r>
      <w:hyperlink w:anchor="fig:210models">
        <w:r>
          <w:rPr>
            <w:rStyle w:val="Hyperlink"/>
          </w:rPr>
          <w:t xml:space="preserve">1</w:t>
        </w:r>
      </w:hyperlink>
      <w:r>
        <w:t xml:space="preserve"> </w:t>
      </w:r>
      <w:r>
        <w:t xml:space="preserve">shows, this model is rarely used and its uses are mostly limited to early uses or uses where other models’ requirements are not met.</w:t>
      </w:r>
    </w:p>
    <w:p>
      <w:pPr>
        <w:pStyle w:val="BodyText"/>
      </w:pPr>
      <w:r>
        <w:t xml:space="preserve">An example of the use of this model is shown at the end of this chapter with a comparison to the other models. For details on the application of the model refer to</w:t>
      </w:r>
      <w:r>
        <w:t xml:space="preserve"> </w:t>
      </w:r>
      <w:r>
        <w:t xml:space="preserve">[@Sanchez-Cabeza2012]</w:t>
      </w:r>
      <w:r>
        <w:t xml:space="preserve">.</w:t>
      </w:r>
    </w:p>
    <w:bookmarkEnd w:id="32"/>
    <w:bookmarkStart w:id="33" w:name="cfcs"/>
    <w:p>
      <w:pPr>
        <w:pStyle w:val="Heading2"/>
      </w:pPr>
      <w:r>
        <w:t xml:space="preserve">CF:CS</w:t>
      </w:r>
    </w:p>
    <w:p>
      <w:pPr>
        <w:pStyle w:val="FirstParagraph"/>
      </w:pPr>
      <w:r>
        <w:t xml:space="preserve">This model assumes both a constant inicial concentration of</w:t>
      </w:r>
      <w:r>
        <w:t xml:space="preserve"> </w:t>
      </w:r>
      <m:oMath>
        <m:sSup>
          <m:e>
            <m:r>
              <m:t>​</m:t>
            </m:r>
          </m:e>
          <m:sup>
            <m:r>
              <m:t>210</m:t>
            </m:r>
          </m:sup>
        </m:sSup>
      </m:oMath>
      <w:r>
        <w:t xml:space="preserve">Pb at any layer but also a constant accumulation rate over the accumulated mass in the sediment.</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r>
                  <m:rPr>
                    <m:sty m:val="p"/>
                  </m:rPr>
                  <m:t>−</m:t>
                </m:r>
                <m:f>
                  <m:fPr>
                    <m:type m:val="bar"/>
                  </m:fPr>
                  <m:num>
                    <m:sSub>
                      <m:e>
                        <m:r>
                          <m:t>m</m:t>
                        </m:r>
                      </m:e>
                      <m:sub>
                        <m:r>
                          <m:t>i</m:t>
                        </m:r>
                      </m:sub>
                    </m:sSub>
                    <m:r>
                      <m:t>b</m:t>
                    </m:r>
                  </m:num>
                  <m:den>
                    <m:r>
                      <m:t>λ</m:t>
                    </m:r>
                  </m:den>
                </m:f>
              </m:e>
            </m:mr>
          </m:m>
        </m:oMath>
      </m:oMathPara>
    </w:p>
    <w:p>
      <w:pPr>
        <w:pStyle w:val="FirstParagraph"/>
      </w:pPr>
      <w:r>
        <w:t xml:space="preserve">Where</w:t>
      </w:r>
      <w:r>
        <w:t xml:space="preserve"> </w:t>
      </w:r>
      <m:oMath>
        <m:sSub>
          <m:e>
            <m:r>
              <m:t>m</m:t>
            </m:r>
          </m:e>
          <m:sub>
            <m:r>
              <m:t>i</m:t>
            </m:r>
          </m:sub>
        </m:sSub>
      </m:oMath>
      <w:r>
        <w:t xml:space="preserve"> </w:t>
      </w:r>
      <w:r>
        <w:t xml:space="preserve">is the accumulated dry mass of the sediment up to layer</w:t>
      </w:r>
      <w:r>
        <w:t xml:space="preserve"> </w:t>
      </w:r>
      <m:oMath>
        <m:r>
          <m:t>i</m:t>
        </m:r>
      </m:oMath>
      <w:r>
        <w:t xml:space="preserve">, and</w:t>
      </w:r>
      <w:r>
        <w:t xml:space="preserve"> </w:t>
      </w:r>
      <m:oMath>
        <m:r>
          <m:t>b</m:t>
        </m:r>
      </m:oMath>
      <w:r>
        <w:t xml:space="preserve"> </w:t>
      </w:r>
      <w:r>
        <w:t xml:space="preserve">is approximated using linear regression over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rPr>
                    <m:sty m:val="p"/>
                  </m:rPr>
                  <m:t>(</m:t>
                </m:r>
                <m:sSubSup>
                  <m:e>
                    <m:r>
                      <m:t>P</m:t>
                    </m:r>
                  </m:e>
                  <m:sub>
                    <m:r>
                      <m:t>i</m:t>
                    </m:r>
                  </m:sub>
                  <m:sup>
                    <m:r>
                      <m:t>U</m:t>
                    </m:r>
                  </m:sup>
                </m:sSubSup>
                <m:r>
                  <m:rPr>
                    <m:sty m:val="p"/>
                  </m:rPr>
                  <m:t>)</m:t>
                </m:r>
              </m:e>
              <m:e>
                <m:r>
                  <m:rPr>
                    <m:sty m:val="p"/>
                  </m:rPr>
                  <m:t>=</m:t>
                </m:r>
                <m:r>
                  <m:t>l</m:t>
                </m:r>
                <m:r>
                  <m:t>o</m:t>
                </m:r>
                <m:r>
                  <m:t>g</m:t>
                </m:r>
                <m:r>
                  <m:rPr>
                    <m:sty m:val="p"/>
                  </m:rPr>
                  <m:t>(</m:t>
                </m:r>
                <m:sSubSup>
                  <m:e>
                    <m:r>
                      <m:t>P</m:t>
                    </m:r>
                  </m:e>
                  <m:sub>
                    <m:r>
                      <m:t>0</m:t>
                    </m:r>
                  </m:sub>
                  <m:sup>
                    <m:r>
                      <m:t>U</m:t>
                    </m:r>
                  </m:sup>
                </m:sSubSup>
                <m:r>
                  <m:rPr>
                    <m:sty m:val="p"/>
                  </m:rPr>
                  <m:t>)</m:t>
                </m:r>
                <m:r>
                  <m:rPr>
                    <m:sty m:val="p"/>
                  </m:rPr>
                  <m:t>−</m:t>
                </m:r>
                <m:f>
                  <m:fPr>
                    <m:type m:val="bar"/>
                  </m:fPr>
                  <m:num>
                    <m:r>
                      <m:t>λ</m:t>
                    </m:r>
                  </m:num>
                  <m:den>
                    <m:r>
                      <m:t>r</m:t>
                    </m:r>
                  </m:den>
                </m:f>
                <m:sSub>
                  <m:e>
                    <m:r>
                      <m:t>m</m:t>
                    </m:r>
                  </m:e>
                  <m:sub>
                    <m:r>
                      <m:t>i</m:t>
                    </m:r>
                  </m:sub>
                </m:sSub>
              </m:e>
            </m:mr>
            <m:mr>
              <m:e/>
              <m:e>
                <m:r>
                  <m:rPr>
                    <m:sty m:val="p"/>
                  </m:rPr>
                  <m:t>=</m:t>
                </m:r>
                <m:acc>
                  <m:accPr>
                    <m:chr m:val="̂"/>
                  </m:accPr>
                  <m:e>
                    <m:r>
                      <m:t>a</m:t>
                    </m:r>
                  </m:e>
                </m:acc>
                <m:r>
                  <m:rPr>
                    <m:sty m:val="p"/>
                  </m:rPr>
                  <m:t>+</m:t>
                </m:r>
                <m:acc>
                  <m:accPr>
                    <m:chr m:val="̂"/>
                  </m:accPr>
                  <m:e>
                    <m:r>
                      <m:t>b</m:t>
                    </m:r>
                  </m:e>
                </m:acc>
                <m:sSub>
                  <m:e>
                    <m:r>
                      <m:t>m</m:t>
                    </m:r>
                  </m:e>
                  <m:sub>
                    <m:r>
                      <m:t>i</m:t>
                    </m:r>
                  </m:sub>
                </m:sSub>
              </m:e>
            </m:mr>
          </m:m>
        </m:oMath>
      </m:oMathPara>
    </w:p>
    <w:p>
      <w:pPr>
        <w:pStyle w:val="FirstParagraph"/>
      </w:pPr>
      <w:r>
        <w:t xml:space="preserve">It is important to note that this models even if more flexible it is still very restrictive, as it can be seem this model is even more rarely use in the practice and again, it only use when the CRS model cant not be used.</w:t>
      </w:r>
      <w:r>
        <w:t xml:space="preserve"> </w:t>
      </w:r>
      <w:r>
        <w:t xml:space="preserve">For the proper implementation of this model, refer to</w:t>
      </w:r>
      <w:r>
        <w:t xml:space="preserve"> </w:t>
      </w:r>
      <w:r>
        <w:t xml:space="preserve">[@Sanchez-Cabeza2012]</w:t>
      </w:r>
      <w:r>
        <w:t xml:space="preserve">.</w:t>
      </w:r>
    </w:p>
    <w:bookmarkEnd w:id="33"/>
    <w:bookmarkStart w:id="34" w:name="crs"/>
    <w:p>
      <w:pPr>
        <w:pStyle w:val="Heading2"/>
      </w:pPr>
      <w:r>
        <w:t xml:space="preserve">CRS</w:t>
      </w:r>
    </w:p>
    <w:p>
      <w:pPr>
        <w:pStyle w:val="FirstParagraph"/>
      </w:pPr>
      <w:r>
        <w:t xml:space="preserve">Up to this point we have deal with models which have extremely restrictive assumptions and simple extensions of the decay equation.</w:t>
      </w:r>
      <w:r>
        <w:t xml:space="preserve"> </w:t>
      </w:r>
      <w:r>
        <w:t xml:space="preserve">The CRS</w:t>
      </w:r>
      <w:r>
        <w:t xml:space="preserve"> </w:t>
      </w:r>
      <w:r>
        <w:t xml:space="preserve">[@Appleby1998; @Appleby2001; @Appleby2008]</w:t>
      </w:r>
      <w:r>
        <w:t xml:space="preserve">, in contrast,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 In order to allow to flexibility in the sedimentation rate the CRS model uses remaining activity.</w:t>
      </w:r>
      <w:r>
        <w:t xml:space="preserve"> </w:t>
      </w:r>
      <w:r>
        <w:t xml:space="preserve">This variable is obtained by multiplying</w:t>
      </w:r>
      <w:r>
        <w:t xml:space="preserve"> </w:t>
      </w:r>
      <m:oMath>
        <m:sSup>
          <m:e>
            <m:r>
              <m:t>​</m:t>
            </m:r>
          </m:e>
          <m:sup>
            <m:r>
              <m:t>210</m:t>
            </m:r>
          </m:sup>
        </m:sSup>
      </m:oMath>
      <w:r>
        <w:t xml:space="preserve">Pb concentration and the density of the sediment.</w:t>
      </w:r>
    </w:p>
    <w:p>
      <w:pPr>
        <w:pStyle w:val="BodyText"/>
      </w:pPr>
      <w:r>
        <w:t xml:space="preserve">This model also requieres that the sediment is measure to the point where excess</w:t>
      </w:r>
      <w:r>
        <w:t xml:space="preserve"> </w:t>
      </w:r>
      <m:oMath>
        <m:sSup>
          <m:e>
            <m:r>
              <m:t>​</m:t>
            </m:r>
          </m:e>
          <m:sup>
            <m:r>
              <m:t>210</m:t>
            </m:r>
          </m:sup>
        </m:sSup>
      </m:oMath>
      <w:r>
        <w:t xml:space="preserve">Pb is not longer find, this is call reach equilibrium or background.</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w:t>
      </w:r>
    </w:p>
    <w:p>
      <w:pPr>
        <w:pStyle w:val="BodyText"/>
      </w:pPr>
      <m:oMathPara>
        <m:oMathParaPr>
          <m:jc m:val="center"/>
        </m:oMathParaPr>
        <m:oMath>
          <m:m>
            <m:mPr>
              <m:baseJc m:val="center"/>
              <m:plcHide m:val="1"/>
              <m:mcs>
                <m:mc>
                  <m:mcPr>
                    <m:mcJc m:val="right"/>
                    <m:count m:val="1"/>
                  </m:mcPr>
                </m:mc>
              </m:mcs>
            </m:mPr>
            <m:mr>
              <m:e>
                <m:r>
                  <m:t>t</m:t>
                </m:r>
                <m:r>
                  <m:rPr>
                    <m:sty m:val="p"/>
                  </m:rPr>
                  <m:t>(</m:t>
                </m:r>
                <m:r>
                  <m:t>x</m:t>
                </m:r>
                <m:r>
                  <m:rPr>
                    <m:sty m:val="p"/>
                  </m:rPr>
                  <m:t>)</m:t>
                </m:r>
                <m:r>
                  <m:rPr>
                    <m:sty m:val="p"/>
                  </m:rP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r>
                  <m:rPr>
                    <m:sty m:val="p"/>
                  </m:rPr>
                  <m:t>,</m:t>
                </m:r>
              </m:e>
            </m:mr>
          </m:m>
        </m:oMath>
      </m:oMathPara>
    </w:p>
    <w:p>
      <w:pPr>
        <w:pStyle w:val="FirstParagraph"/>
      </w:pPr>
      <w:r>
        <w:t xml:space="preserve">where</w:t>
      </w:r>
      <w:r>
        <w:t xml:space="preserve"> </w:t>
      </w:r>
      <m:oMath>
        <m:sSub>
          <m:e>
            <m:r>
              <m:t>A</m:t>
            </m:r>
          </m:e>
          <m:sub>
            <m:r>
              <m:t>0</m:t>
            </m:r>
          </m:sub>
        </m:sSub>
      </m:oMath>
      <w:r>
        <w:t xml:space="preserve"> </w:t>
      </w:r>
      <w:r>
        <w:t xml:space="preserve">is the complete inventory, and</w:t>
      </w:r>
      <w:r>
        <w:t xml:space="preserve"> </w:t>
      </w:r>
      <m:oMath>
        <m:sSub>
          <m:e>
            <m:r>
              <m:t>A</m:t>
            </m:r>
          </m:e>
          <m:sub>
            <m:r>
              <m:t>x</m:t>
            </m:r>
          </m:sub>
        </m:sSub>
      </m:oMath>
      <w:r>
        <w:t xml:space="preserve"> </w:t>
      </w:r>
      <w:r>
        <w:t xml:space="preserve">is the inventory up to depth</w:t>
      </w:r>
      <w:r>
        <w:t xml:space="preserve"> </w:t>
      </w:r>
      <m:oMath>
        <m:r>
          <m:t>x</m:t>
        </m:r>
      </m:oMath>
      <w:r>
        <w:t xml:space="preserve">.</w:t>
      </w:r>
    </w:p>
    <w:p>
      <w:pPr>
        <w:pStyle w:val="BodyText"/>
      </w:pPr>
      <w:r>
        <w:t xml:space="preserve">Once more details on the proper use of this and the previous models can be found in</w:t>
      </w:r>
      <w:r>
        <w:t xml:space="preserve"> </w:t>
      </w:r>
      <w:r>
        <w:t xml:space="preserve">[@Sanchez-Cabeza2012]</w:t>
      </w:r>
      <w:r>
        <w:t xml:space="preserve">.</w:t>
      </w:r>
    </w:p>
    <w:bookmarkEnd w:id="34"/>
    <w:bookmarkStart w:id="37" w:name="plum"/>
    <w:p>
      <w:pPr>
        <w:pStyle w:val="Heading2"/>
      </w:pPr>
      <w:r>
        <w:rPr>
          <w:iCs/>
          <w:i/>
        </w:rPr>
        <w:t xml:space="preserve">Plum</w:t>
      </w:r>
    </w:p>
    <w:p>
      <w:pPr>
        <w:pStyle w:val="FirstParagraph"/>
      </w:pPr>
      <w:r>
        <w:t xml:space="preserve">Lastly,</w:t>
      </w:r>
      <w:r>
        <w:t xml:space="preserve"> </w:t>
      </w:r>
      <w:r>
        <w:rPr>
          <w:iCs/>
          <w:i/>
        </w:rPr>
        <w:t xml:space="preserve">Plum</w:t>
      </w:r>
      <w:r>
        <w:t xml:space="preserve"> </w:t>
      </w:r>
      <w:r>
        <w:t xml:space="preserve">is the most recent age depth model</w:t>
      </w:r>
      <w:r>
        <w:t xml:space="preserve"> </w:t>
      </w:r>
      <w:r>
        <w:t xml:space="preserve">[@Aquino2018]</w:t>
      </w:r>
      <w:r>
        <w:t xml:space="preserve">.</w:t>
      </w:r>
      <w:r>
        <w:t xml:space="preserve"> </w:t>
      </w:r>
      <w:r>
        <w:t xml:space="preserve">This model is the first Bayesian method for dating</w:t>
      </w:r>
      <w:r>
        <w:t xml:space="preserve"> </w:t>
      </w:r>
      <m:oMath>
        <m:sSup>
          <m:e>
            <m:r>
              <m:t>​</m:t>
            </m:r>
          </m:e>
          <m:sup>
            <m:r>
              <m:t>210</m:t>
            </m:r>
          </m:sup>
        </m:sSup>
      </m:oMath>
      <w:r>
        <w:t xml:space="preserve">Pb sediments and it has recibe a moderate interest by the palaeoecological community with 18 citations up to the moment of writing this manuscript.</w:t>
      </w:r>
      <w:r>
        <w:t xml:space="preserve"> </w:t>
      </w:r>
      <w:r>
        <w:t xml:space="preserve">This is more than the citations obtained by the CF:CS model and in the literature review by</w:t>
      </w:r>
      <w:r>
        <w:t xml:space="preserve"> </w:t>
      </w:r>
      <w:r>
        <w:t xml:space="preserve">[@Courtney2019]</w:t>
      </w:r>
      <w:r>
        <w:t xml:space="preserve">.</w:t>
      </w:r>
    </w:p>
    <w:p>
      <w:pPr>
        <w:pStyle w:val="BodyText"/>
      </w:pPr>
      <w:r>
        <w:rPr>
          <w:iCs/>
          <w:i/>
        </w:rPr>
        <w:t xml:space="preserve">Plum</w:t>
      </w:r>
      <w:r>
        <w:t xml:space="preserve"> </w:t>
      </w:r>
      <w:r>
        <w:t xml:space="preserve">assumes that there exists an (unknown) age-depth function</w:t>
      </w:r>
      <w:r>
        <w:t xml:space="preserve"> </w:t>
      </w:r>
      <m:oMath>
        <m:r>
          <m:t>t</m:t>
        </m:r>
        <m:r>
          <m:rPr>
            <m:sty m:val="p"/>
          </m:rPr>
          <m:t>(</m:t>
        </m:r>
        <m:r>
          <m:t>x</m:t>
        </m:r>
        <m:r>
          <m:rPr>
            <m:sty m:val="p"/>
          </m:rPr>
          <m:t>)</m:t>
        </m:r>
      </m:oMath>
      <w:r>
        <w:t xml:space="preserve"> </w:t>
      </w:r>
      <w:r>
        <w:t xml:space="preserve">that relates depth</w:t>
      </w:r>
      <w:r>
        <w:t xml:space="preserve"> </w:t>
      </w:r>
      <m:oMath>
        <m:r>
          <m:t>x</m:t>
        </m:r>
      </m:oMath>
      <w:r>
        <w:t xml:space="preserve"> </w:t>
      </w:r>
      <w:r>
        <w:t xml:space="preserve">with calendar age</w:t>
      </w:r>
      <w:r>
        <w:t xml:space="preserve"> </w:t>
      </w:r>
      <m:oMath>
        <m:r>
          <m:t>t</m:t>
        </m:r>
        <m:r>
          <m:rPr>
            <m:sty m:val="p"/>
          </m:rPr>
          <m:t>(</m:t>
        </m:r>
        <m:r>
          <m:t>x</m:t>
        </m:r>
        <m:r>
          <m:rPr>
            <m:sty m:val="p"/>
          </m:rPr>
          <m:t>)</m:t>
        </m:r>
      </m:oMath>
      <w:r>
        <w:t xml:space="preserve">.</w:t>
      </w:r>
      <w:r>
        <w:t xml:space="preserve"> </w:t>
      </w:r>
      <w:r>
        <w:t xml:space="preserve">Conditional on</w:t>
      </w:r>
      <w:r>
        <w:t xml:space="preserve"> </w:t>
      </w:r>
      <m:oMath>
        <m:r>
          <m:t>t</m:t>
        </m:r>
        <m:r>
          <m:rPr>
            <m:sty m:val="p"/>
          </m:rPr>
          <m:t>(</m:t>
        </m:r>
        <m:r>
          <m:t>x</m:t>
        </m:r>
        <m:r>
          <m:rPr>
            <m:sty m:val="p"/>
          </m:rPr>
          <m:t>)</m:t>
        </m:r>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grow/>
                  </m:dPr>
                  <m:e>
                    <m:sSubSup>
                      <m:e>
                        <m:r>
                          <m:t>P</m:t>
                        </m:r>
                      </m:e>
                      <m:sub>
                        <m:r>
                          <m:t>i</m:t>
                        </m:r>
                      </m:sub>
                      <m:sup>
                        <m:r>
                          <m:t>S</m:t>
                        </m:r>
                      </m:sup>
                    </m:sSubSup>
                    <m:r>
                      <m:rPr>
                        <m:sty m:val="p"/>
                      </m:rPr>
                      <m:t>+</m:t>
                    </m:r>
                    <m:f>
                      <m:fPr>
                        <m:type m:val="bar"/>
                      </m:fPr>
                      <m:num>
                        <m:sSub>
                          <m:e>
                            <m:r>
                              <m:t>Φ</m:t>
                            </m:r>
                          </m:e>
                          <m:sub>
                            <m:r>
                              <m:t>i</m:t>
                            </m:r>
                          </m:sub>
                        </m:sSub>
                      </m:num>
                      <m:den>
                        <m:r>
                          <m:t>λ</m:t>
                        </m:r>
                      </m:den>
                    </m:f>
                    <m:d>
                      <m:dPr>
                        <m:begChr m:val="("/>
                        <m:endChr m:val=")"/>
                        <m:grow/>
                      </m:dPr>
                      <m:e>
                        <m:sSup>
                          <m:e>
                            <m:r>
                              <m:t>e</m:t>
                            </m:r>
                          </m:e>
                          <m:sup>
                            <m:r>
                              <m:rPr>
                                <m:sty m:val="p"/>
                              </m:rPr>
                              <m:t>−</m:t>
                            </m:r>
                            <m:r>
                              <m:t>λ</m:t>
                            </m:r>
                            <m:r>
                              <m:t>t</m:t>
                            </m:r>
                            <m:r>
                              <m:rPr>
                                <m:sty m:val="p"/>
                              </m:rPr>
                              <m:t>(</m:t>
                            </m:r>
                            <m:sSub>
                              <m:e>
                                <m:r>
                                  <m:t>x</m:t>
                                </m:r>
                              </m:e>
                              <m:sub>
                                <m:r>
                                  <m:t>i</m:t>
                                </m:r>
                              </m:sub>
                            </m:sSub>
                            <m:r>
                              <m:rPr>
                                <m:sty m:val="p"/>
                              </m:rPr>
                              <m:t>−</m:t>
                            </m:r>
                            <m:r>
                              <m:t>δ</m:t>
                            </m:r>
                            <m:r>
                              <m:rPr>
                                <m:sty m:val="p"/>
                              </m:rPr>
                              <m:t>)</m:t>
                            </m:r>
                          </m:sup>
                        </m:sSup>
                        <m:r>
                          <m:rPr>
                            <m:sty m:val="p"/>
                          </m:rPr>
                          <m:t>−</m:t>
                        </m:r>
                        <m:sSup>
                          <m:e>
                            <m:r>
                              <m:t>e</m:t>
                            </m:r>
                          </m:e>
                          <m:sup>
                            <m:r>
                              <m:rPr>
                                <m:sty m:val="p"/>
                              </m:rPr>
                              <m:t>−</m:t>
                            </m:r>
                            <m:r>
                              <m:t>λ</m:t>
                            </m:r>
                            <m:r>
                              <m:t>t</m:t>
                            </m:r>
                            <m:r>
                              <m:rPr>
                                <m:sty m:val="p"/>
                              </m:rPr>
                              <m:t>(</m:t>
                            </m:r>
                            <m:sSub>
                              <m:e>
                                <m:r>
                                  <m:t>x</m:t>
                                </m:r>
                              </m:e>
                              <m:sub>
                                <m:r>
                                  <m:t>i</m:t>
                                </m:r>
                              </m:sub>
                            </m:sSub>
                            <m:r>
                              <m:rPr>
                                <m:sty m:val="p"/>
                              </m:rPr>
                              <m:t>)</m:t>
                            </m:r>
                          </m:sup>
                        </m:sSup>
                      </m:e>
                    </m:d>
                    <m:r>
                      <m:rPr>
                        <m:sty m:val="p"/>
                      </m:rPr>
                      <m:t>,</m:t>
                    </m:r>
                    <m:r>
                      <m:rPr>
                        <m:sty m:val="p"/>
                      </m:rPr>
                      <m:t>(</m:t>
                    </m:r>
                    <m:sSub>
                      <m:e>
                        <m:r>
                          <m:t>σ</m:t>
                        </m:r>
                      </m:e>
                      <m:sub>
                        <m:r>
                          <m:t>i</m:t>
                        </m:r>
                      </m:sub>
                    </m:sSub>
                    <m:sSub>
                      <m:e>
                        <m:r>
                          <m:t>ρ</m:t>
                        </m:r>
                      </m:e>
                      <m:sub>
                        <m:r>
                          <m:t>i</m:t>
                        </m:r>
                      </m:sub>
                    </m:sSub>
                    <m:sSup>
                      <m:e>
                        <m:r>
                          <m:rPr>
                            <m:sty m:val="p"/>
                          </m:rPr>
                          <m:t>)</m:t>
                        </m:r>
                      </m:e>
                      <m:sup>
                        <m:r>
                          <m:t>2</m:t>
                        </m:r>
                      </m:sup>
                    </m:sSup>
                  </m:e>
                </m:d>
                <m:r>
                  <m:rPr>
                    <m:sty m:val="p"/>
                  </m:rPr>
                  <m:t>.</m:t>
                </m:r>
              </m:e>
            </m:mr>
          </m:m>
        </m:oMath>
      </m:oMathPara>
    </w:p>
    <w:p>
      <w:pPr>
        <w:pStyle w:val="FirstParagraph"/>
      </w:pPr>
      <w:r>
        <w:t xml:space="preserve">Here</w:t>
      </w:r>
      <w:r>
        <w:t xml:space="preserve"> </w:t>
      </w:r>
      <m:oMath>
        <m:sSubSup>
          <m:e>
            <m:r>
              <m:t>P</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r>
          <m:rPr>
            <m:sty m:val="p"/>
          </m:rPr>
          <m:t>(</m:t>
        </m:r>
        <m:r>
          <m:t>x</m:t>
        </m:r>
        <m:r>
          <m:rPr>
            <m:sty m:val="p"/>
          </m:rPr>
          <m:t>)</m:t>
        </m:r>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does not provide a formal statistical inference.</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p>
      <w:pPr>
        <w:pStyle w:val="CaptionedFigure"/>
      </w:pPr>
      <w:bookmarkStart w:id="36" w:name="fig:tehuaii"/>
      <w:r>
        <w:drawing>
          <wp:inline>
            <wp:extent cx="4686300" cy="4521200"/>
            <wp:effectExtent b="0" l="0" r="0" t="0"/>
            <wp:docPr descr="Figure 2: Comparison between the Plum, CIC, CRS and CF:CS." title="" id="1" name="Picture"/>
            <a:graphic>
              <a:graphicData uri="http://schemas.openxmlformats.org/drawingml/2006/picture">
                <pic:pic>
                  <pic:nvPicPr>
                    <pic:cNvPr descr="TEHUAII.pdf" id="0" name="Picture"/>
                    <pic:cNvPicPr>
                      <a:picLocks noChangeArrowheads="1" noChangeAspect="1"/>
                    </pic:cNvPicPr>
                  </pic:nvPicPr>
                  <pic:blipFill>
                    <a:blip r:embed="rId35"/>
                    <a:stretch>
                      <a:fillRect/>
                    </a:stretch>
                  </pic:blipFill>
                  <pic:spPr bwMode="auto">
                    <a:xfrm>
                      <a:off x="0" y="0"/>
                      <a:ext cx="4686300" cy="4521200"/>
                    </a:xfrm>
                    <a:prstGeom prst="rect">
                      <a:avLst/>
                    </a:prstGeom>
                    <a:noFill/>
                    <a:ln w="9525">
                      <a:noFill/>
                      <a:headEnd/>
                      <a:tailEnd/>
                    </a:ln>
                  </pic:spPr>
                </pic:pic>
              </a:graphicData>
            </a:graphic>
          </wp:inline>
        </w:drawing>
      </w:r>
      <w:bookmarkEnd w:id="36"/>
    </w:p>
    <w:p>
      <w:pPr>
        <w:pStyle w:val="ImageCaption"/>
      </w:pPr>
      <w:r>
        <w:t xml:space="preserve">Figure 2: Comparison between the</w:t>
      </w:r>
      <w:r>
        <w:t xml:space="preserve"> </w:t>
      </w:r>
      <w:r>
        <w:rPr>
          <w:iCs/>
          <w:i/>
        </w:rPr>
        <w:t xml:space="preserve">Plum</w:t>
      </w:r>
      <w:r>
        <w:t xml:space="preserve">, CIC, CRS and CF:CS.</w:t>
      </w:r>
    </w:p>
    <w:p>
      <w:pPr>
        <w:pStyle w:val="BodyText"/>
      </w:pPr>
      <w:r>
        <w:t xml:space="preserve">Figure</w:t>
      </w:r>
      <w:r>
        <w:t xml:space="preserve"> </w:t>
      </w:r>
      <w:hyperlink w:anchor="fig:tehuaii">
        <w:r>
          <w:rPr>
            <w:rStyle w:val="Hyperlink"/>
          </w:rPr>
          <w:t xml:space="preserve">2</w:t>
        </w:r>
      </w:hyperlink>
      <w:r>
        <w:t xml:space="preserve"> </w:t>
      </w:r>
      <w:r>
        <w:t xml:space="preserve">shows the resulting chronology of each model.</w:t>
      </w:r>
      <w:r>
        <w:t xml:space="preserve"> </w:t>
      </w:r>
      <w:r>
        <w:t xml:space="preserve">From this figure we can observe that the CIC and CF:CS provide very different age-depth models when compared to the CRS and</w:t>
      </w:r>
      <w:r>
        <w:t xml:space="preserve"> </w:t>
      </w:r>
      <w:r>
        <w:rPr>
          <w:iCs/>
          <w:i/>
        </w:rPr>
        <w:t xml:space="preserve">Plum</w:t>
      </w:r>
      <w:r>
        <w:t xml:space="preserve">.</w:t>
      </w:r>
      <w:r>
        <w:t xml:space="preserve"> </w:t>
      </w:r>
      <w:r>
        <w:t xml:space="preserve">As mentioned, the CIC and CF:CS have much more restrictive assumptions which may be the reason to the very different results.</w:t>
      </w:r>
      <w:r>
        <w:t xml:space="preserve"> </w:t>
      </w:r>
      <w:r>
        <w:t xml:space="preserve">For this reason the main discussion will focus on the CRS and</w:t>
      </w:r>
      <w:r>
        <w:t xml:space="preserve"> </w:t>
      </w:r>
      <w:r>
        <w:rPr>
          <w:iCs/>
          <w:i/>
        </w:rPr>
        <w:t xml:space="preserve">Plum</w:t>
      </w:r>
      <w:r>
        <w:t xml:space="preserve">.</w:t>
      </w:r>
    </w:p>
    <w:p>
      <w:pPr>
        <w:pStyle w:val="BodyText"/>
      </w:pPr>
      <w:r>
        <w:t xml:space="preserve">###########################</w:t>
      </w:r>
      <w:r>
        <w:t xml:space="preserve"> </w:t>
      </w:r>
      <w:r>
        <w:t xml:space="preserve">###########################</w:t>
      </w:r>
      <w:r>
        <w:t xml:space="preserve"> </w:t>
      </w:r>
      <w:r>
        <w:t xml:space="preserve">###########################</w:t>
      </w:r>
    </w:p>
    <w:bookmarkEnd w:id="37"/>
    <w:bookmarkEnd w:id="38"/>
    <w:bookmarkStart w:id="39" w:name="X44b1c0aa47dc56aa18009975fbab73e191979ee"/>
    <w:p>
      <w:pPr>
        <w:pStyle w:val="Heading1"/>
      </w:pPr>
      <w:r>
        <w:t xml:space="preserve">Model considerations and experiment setup</w:t>
      </w:r>
    </w:p>
    <w:p>
      <w:pPr>
        <w:pStyle w:val="FirstParagraph"/>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While we acknowledge that this implementation may be the less suitable in some particular cases and then expert knowledge can greatly improve the precision and accuracy of the model, but this will reduce the bias of any particular implementation has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 a publicly available Excel spreadsheet, which facilitate the calculation of their age estimates and Monte Carlo uncertainties.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Considering that this research focuses on the methods with minimal user manipulation, and given that these modifications are laboratory-specific and not made publicly available, an R implementation (provided by the authors) of the improved CRS by</w:t>
      </w:r>
      <w:r>
        <w:t xml:space="preserve"> </w:t>
      </w:r>
      <w:r>
        <w:t xml:space="preserve">[@Sanchez-Cabeza2014]</w:t>
      </w:r>
      <w:r>
        <w:t xml:space="preserve">, here labelled as revised CRS (R-CRS)</w:t>
      </w:r>
    </w:p>
    <w:p>
      <w:pPr>
        <w:pStyle w:val="BodyText"/>
      </w:pPr>
      <w:r>
        <w:t xml:space="preserve">The other models (CIC and CF:CS) were also used but the results show a big bias, as well as, an insufficient uncertainties to capture the true age-depth functions, as expected from such restrictive models.</w:t>
      </w:r>
      <w:r>
        <w:t xml:space="preserve"> </w:t>
      </w:r>
      <w:r>
        <w:t xml:space="preserve">These models were performed using the serac R package</w:t>
      </w:r>
      <w:r>
        <w:t xml:space="preserve"> </w:t>
      </w:r>
      <w:r>
        <w:t xml:space="preserve">[@Bruel_2020]</w:t>
      </w:r>
      <w:r>
        <w:t xml:space="preserve">.</w:t>
      </w:r>
      <w:r>
        <w:t xml:space="preserve"> </w:t>
      </w:r>
      <w:r>
        <w:t xml:space="preserve">These results can be observed in the appendix A of this paper.</w:t>
      </w:r>
    </w:p>
    <w:bookmarkEnd w:id="39"/>
    <w:bookmarkStart w:id="47" w:name="simulations-experiment-setup"/>
    <w:p>
      <w:pPr>
        <w:pStyle w:val="Heading1"/>
      </w:pPr>
      <w:r>
        <w:t xml:space="preserve">Simulations (experiment setup)</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r>
          <m:rPr>
            <m:sty m:val="p"/>
          </m:rPr>
          <m:t>(</m:t>
        </m:r>
        <m:r>
          <m:t>x</m:t>
        </m:r>
        <m:r>
          <m:rPr>
            <m:sty m:val="p"/>
          </m:rPr>
          <m:t>)</m:t>
        </m:r>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p>
      <w:pPr>
        <w:pStyle w:val="BodyText"/>
      </w:pPr>
      <w:r>
        <w:t xml:space="preserve">This simulation will be used to generate three different data sets, which then later will be used to do sampling, which will mimic the act of sampling from a real core, which each laboratory or</w:t>
      </w:r>
      <w:r>
        <w:t xml:space="preserve"> </w:t>
      </w:r>
      <m:oMath>
        <m:sSup>
          <m:e>
            <m:r>
              <m:t>​</m:t>
            </m:r>
          </m:e>
          <m:sup>
            <m:r>
              <m:t>210</m:t>
            </m:r>
          </m:sup>
        </m:sSup>
      </m:oMath>
      <w:r>
        <w:t xml:space="preserve">Pb user has to do.</w:t>
      </w:r>
      <w:r>
        <w:t xml:space="preserve"> </w:t>
      </w:r>
      <w:r>
        <w:t xml:space="preserve">The quantity of samples is decided by the budget of each project, as explained by</w:t>
      </w:r>
      <w:r>
        <w:t xml:space="preserve"> </w:t>
      </w:r>
      <w:r>
        <w:t xml:space="preserve">[@Blaauw2018]</w:t>
      </w:r>
      <w:r>
        <w:t xml:space="preserve">.</w:t>
      </w:r>
      <w:r>
        <w:t xml:space="preserve"> </w:t>
      </w:r>
      <w:r>
        <w:t xml:space="preserve">In some cases very few samples are selected creating an age-depth model.</w:t>
      </w:r>
    </w:p>
    <w:bookmarkStart w:id="45"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2</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the present (surface); this is quite common for recent sediments. Scenario 2 presents a challenging core structure as the function has a drastic and rapid shift in sediment accumulation around depth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2</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3</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is provided to both models the comparison remains valid.</w:t>
      </w:r>
    </w:p>
    <w:bookmarkStart w:id="40"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val="000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oMath>
            <w:r>
              <w:t xml:space="preserve">Pb</w:t>
            </w:r>
          </w:p>
        </w:tc>
      </w:tr>
      <w:tr>
        <w:tc>
          <w:p/>
        </w:tc>
        <w:tc>
          <w:p>
            <w:pPr>
              <w:pStyle w:val="Compact"/>
              <w:jc w:val="center"/>
            </w:pPr>
            <w:r>
              <w:t xml:space="preserve">function</w:t>
            </w:r>
            <w:r>
              <w:t xml:space="preserve"> </w:t>
            </w:r>
            <m:oMath>
              <m:r>
                <m:t>t</m:t>
              </m:r>
              <m:r>
                <m:rPr>
                  <m:sty m:val="p"/>
                </m:rPr>
                <m:t>(</m:t>
              </m:r>
              <m:r>
                <m:t>x</m:t>
              </m:r>
              <m:r>
                <m:rPr>
                  <m:sty m:val="p"/>
                </m:rPr>
                <m:t>)</m:t>
              </m:r>
            </m:oMath>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rPr>
                  <m:sty m:val="p"/>
                </m:rP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rPr>
                  <m:sty m:val="p"/>
                </m:rPr>
                <m:t>+</m:t>
              </m:r>
              <m:r>
                <m:t>25</m:t>
              </m:r>
              <m:r>
                <m:rPr>
                  <m:nor/>
                  <m:sty m:val="p"/>
                </m:rPr>
                <m:t>sin</m:t>
              </m:r>
              <m:r>
                <m:rPr>
                  <m:sty m:val="p"/>
                </m:rPr>
                <m:t>(</m:t>
              </m:r>
              <m:f>
                <m:fPr>
                  <m:type m:val="bar"/>
                </m:fPr>
                <m:num>
                  <m:r>
                    <m:t>x</m:t>
                  </m:r>
                </m:num>
                <m:den>
                  <m:r>
                    <m:t>π</m:t>
                  </m:r>
                </m:den>
              </m:f>
              <m:r>
                <m:rPr>
                  <m:sty m:val="p"/>
                </m:rPr>
                <m:t>)</m:t>
              </m:r>
            </m:oMath>
          </w:p>
        </w:tc>
        <w:tc>
          <w:p>
            <w:pPr>
              <w:pStyle w:val="Compact"/>
              <w:jc w:val="center"/>
            </w:pPr>
            <w:r>
              <w:t xml:space="preserve">500</w:t>
            </w:r>
          </w:p>
        </w:tc>
        <w:tc>
          <w:p>
            <w:pPr>
              <w:pStyle w:val="Compact"/>
              <w:jc w:val="center"/>
            </w:pPr>
            <w:r>
              <w:t xml:space="preserve">15</w:t>
            </w:r>
          </w:p>
        </w:tc>
      </w:tr>
    </w:tbl>
    <w:bookmarkEnd w:id="40"/>
    <w:p>
      <w:pPr>
        <w:pStyle w:val="BodyText"/>
      </w:pPr>
      <w:bookmarkStart w:id="41" w:name="tab:sim_param"/>
      <w:r>
        <w:t xml:space="preserve">[tab:sim_param]</w:t>
      </w:r>
      <w:bookmarkEnd w:id="41"/>
    </w:p>
    <w:p>
      <w:pPr>
        <w:pStyle w:val="CaptionedFigure"/>
      </w:pPr>
      <w:bookmarkStart w:id="43" w:name="fig:true_210"/>
      <w:r>
        <w:drawing>
          <wp:inline>
            <wp:extent cx="5334000" cy="2823882"/>
            <wp:effectExtent b="0" l="0" r="0" t="0"/>
            <wp:docPr descr="Figure 3: Simulated sedimentation scenarios with their corresponding ^{210}Pb profiles. Left: Age-depth functions for the three different scenarios (Table 2).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42"/>
                    <a:stretch>
                      <a:fillRect/>
                    </a:stretch>
                  </pic:blipFill>
                  <pic:spPr bwMode="auto">
                    <a:xfrm>
                      <a:off x="0" y="0"/>
                      <a:ext cx="5334000" cy="2823882"/>
                    </a:xfrm>
                    <a:prstGeom prst="rect">
                      <a:avLst/>
                    </a:prstGeom>
                    <a:noFill/>
                    <a:ln w="9525">
                      <a:noFill/>
                      <a:headEnd/>
                      <a:tailEnd/>
                    </a:ln>
                  </pic:spPr>
                </pic:pic>
              </a:graphicData>
            </a:graphic>
          </wp:inline>
        </w:drawing>
      </w:r>
      <w:bookmarkEnd w:id="43"/>
    </w:p>
    <w:p>
      <w:pPr>
        <w:pStyle w:val="ImageCaption"/>
      </w:pPr>
      <w:r>
        <w:t xml:space="preserve">Figure 3: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2</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r>
          <m:rPr>
            <m:sty m:val="p"/>
          </m:rPr>
          <m:t>(</m:t>
        </m:r>
        <m:r>
          <m:t>x</m:t>
        </m:r>
        <m:r>
          <m:rPr>
            <m:sty m:val="p"/>
          </m:rP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w:t>
      </w:r>
      <w:r>
        <w:t xml:space="preserve">resulting in</w:t>
      </w:r>
      <w:r>
        <w:t xml:space="preserve"> </w:t>
      </w:r>
      <m:oMath>
        <m:sSub>
          <m:e>
            <m:r>
              <m:t>X</m:t>
            </m:r>
          </m:e>
          <m:sub>
            <m:r>
              <m:t>s</m:t>
            </m:r>
            <m:r>
              <m:t>h</m:t>
            </m:r>
            <m:r>
              <m:t>i</m:t>
            </m:r>
            <m:r>
              <m:t>f</m:t>
            </m:r>
            <m:r>
              <m:t>t</m:t>
            </m:r>
          </m:sub>
        </m:sSub>
        <m:r>
          <m:rPr>
            <m:sty m:val="p"/>
          </m:rPr>
          <m:t>∼</m:t>
        </m:r>
        <m:r>
          <m:rPr>
            <m:sty m:val="p"/>
          </m:rPr>
          <m:t>(</m:t>
        </m:r>
        <m:r>
          <m:t>1</m:t>
        </m:r>
        <m:r>
          <m:rPr>
            <m:sty m:val="p"/>
          </m:rPr>
          <m:t>−</m:t>
        </m:r>
        <m:sSub>
          <m:e>
            <m:r>
              <m:t>p</m:t>
            </m:r>
          </m:e>
          <m:sub>
            <m:r>
              <m:t>o</m:t>
            </m:r>
            <m:r>
              <m:t>u</m:t>
            </m:r>
            <m:r>
              <m:t>t</m:t>
            </m:r>
          </m:sub>
        </m:sSub>
        <m:r>
          <m:rPr>
            <m:sty m:val="p"/>
          </m:rPr>
          <m:t>)</m:t>
        </m:r>
        <m:sSub>
          <m:e>
            <m:r>
              <m:t>δ</m:t>
            </m:r>
          </m:e>
          <m:sub>
            <m:r>
              <m:t>0</m:t>
            </m:r>
          </m:sub>
        </m:sSub>
        <m:r>
          <m:rPr>
            <m:sty m:val="p"/>
          </m:rPr>
          <m:t>+</m:t>
        </m:r>
        <m:sSub>
          <m:e>
            <m:r>
              <m:t>p</m:t>
            </m:r>
          </m:e>
          <m:sub>
            <m:r>
              <m:t>o</m:t>
            </m:r>
            <m:r>
              <m:t>u</m:t>
            </m:r>
            <m:r>
              <m:t>t</m:t>
            </m:r>
          </m:sub>
        </m:sSub>
        <m:r>
          <m:rPr>
            <m:sty m:val="p"/>
            <m:scr m:val="script"/>
          </m:rPr>
          <m:t>U</m:t>
        </m:r>
        <m:r>
          <m:rPr>
            <m:sty m:val="p"/>
          </m:rPr>
          <m:t>(</m:t>
        </m:r>
        <m:r>
          <m:rPr>
            <m:sty m:val="p"/>
          </m:rPr>
          <m:t>−</m:t>
        </m:r>
        <m:sSub>
          <m:e>
            <m:r>
              <m:t>x</m:t>
            </m:r>
          </m:e>
          <m:sub>
            <m:r>
              <m:t>s</m:t>
            </m:r>
            <m:r>
              <m:t>h</m:t>
            </m:r>
            <m:r>
              <m:t>i</m:t>
            </m:r>
            <m:r>
              <m:t>f</m:t>
            </m:r>
            <m:r>
              <m:t>t</m:t>
            </m:r>
          </m:sub>
        </m:sSub>
        <m:r>
          <m:rPr>
            <m:sty m:val="p"/>
          </m:rPr>
          <m:t>,</m:t>
        </m:r>
        <m:sSub>
          <m:e>
            <m:r>
              <m:t>x</m:t>
            </m:r>
          </m:e>
          <m:sub>
            <m:r>
              <m:t>s</m:t>
            </m:r>
            <m:r>
              <m:t>h</m:t>
            </m:r>
            <m:r>
              <m:t>i</m:t>
            </m:r>
            <m:r>
              <m:t>f</m:t>
            </m:r>
            <m:r>
              <m:t>t</m:t>
            </m:r>
          </m:sub>
        </m:sSub>
        <m:r>
          <m:rPr>
            <m:sty m:val="p"/>
          </m:rPr>
          <m:t>)</m:t>
        </m:r>
      </m:oMath>
      <w:r>
        <w:t xml:space="preserve">, where</w:t>
      </w:r>
      <w:r>
        <w:t xml:space="preserve"> </w:t>
      </w:r>
      <m:oMath>
        <m:sSub>
          <m:e>
            <m:r>
              <m:t>δ</m:t>
            </m:r>
          </m:e>
          <m:sub>
            <m:r>
              <m:t>0</m:t>
            </m:r>
          </m:sub>
        </m:sSub>
      </m:oMath>
      <w:r>
        <w:t xml:space="preserve"> </w:t>
      </w:r>
      <w:r>
        <w:t xml:space="preserve">is a point-mass at 0.</w:t>
      </w:r>
    </w:p>
    <w:p>
      <w:pPr>
        <w:pStyle w:val="BodyText"/>
      </w:pPr>
      <w:r>
        <w:t xml:space="preserve">Finally, to simulate the data provided by the laboratory (</w:t>
      </w:r>
      <m:oMath>
        <m:r>
          <m:t>y</m:t>
        </m:r>
        <m:r>
          <m:rPr>
            <m:sty m:val="p"/>
          </m:rPr>
          <m:t>(</m:t>
        </m:r>
        <m:r>
          <m:t>θ</m:t>
        </m:r>
        <m:r>
          <m:rPr>
            <m:sty m:val="p"/>
          </m:rPr>
          <m:t>′</m:t>
        </m:r>
        <m:r>
          <m:rPr>
            <m:sty m:val="p"/>
          </m:rPr>
          <m:t>)</m:t>
        </m:r>
      </m:oMath>
      <w:r>
        <w:t xml:space="preserve">), we can define as,</w:t>
      </w:r>
    </w:p>
    <w:p>
      <w:pPr>
        <w:pStyle w:val="BodyText"/>
      </w:pPr>
      <m:oMathPara>
        <m:oMathParaPr>
          <m:jc m:val="center"/>
        </m:oMathParaPr>
        <m:oMath>
          <m:m>
            <m:mPr>
              <m:baseJc m:val="center"/>
              <m:plcHide m:val="1"/>
              <m:mcs>
                <m:mc>
                  <m:mcPr>
                    <m:mcJc m:val="right"/>
                    <m:count m:val="1"/>
                  </m:mcPr>
                </m:mc>
              </m:mcs>
            </m:mPr>
            <m:mr>
              <m:e>
                <m:r>
                  <m:t>y</m:t>
                </m:r>
                <m:r>
                  <m:rPr>
                    <m:sty m:val="p"/>
                  </m:rPr>
                  <m:t>(</m:t>
                </m:r>
                <m:r>
                  <m:t>θ</m:t>
                </m:r>
                <m:r>
                  <m:rPr>
                    <m:sty m:val="p"/>
                  </m:rPr>
                  <m:t>′</m:t>
                </m:r>
                <m:r>
                  <m:rPr>
                    <m:sty m:val="p"/>
                  </m:rPr>
                  <m:t>)</m:t>
                </m:r>
                <m:r>
                  <m:rPr>
                    <m:sty m:val="p"/>
                  </m:rPr>
                  <m:t>∼</m:t>
                </m:r>
                <m:r>
                  <m:rPr>
                    <m:sty m:val="p"/>
                    <m:scr m:val="script"/>
                  </m:rPr>
                  <m:t>N</m:t>
                </m:r>
                <m:d>
                  <m:dPr>
                    <m:begChr m:val="("/>
                    <m:endChr m:val=")"/>
                    <m:grow/>
                  </m:dPr>
                  <m:e>
                    <m:sSub>
                      <m:e>
                        <m:r>
                          <m:t>C</m:t>
                        </m:r>
                      </m:e>
                      <m:sub>
                        <m:acc>
                          <m:accPr>
                            <m:chr m:val="̂"/>
                          </m:accPr>
                          <m:e>
                            <m:r>
                              <m:t>x</m:t>
                            </m:r>
                          </m:e>
                        </m:acc>
                      </m:sub>
                    </m:sSub>
                    <m:r>
                      <m:rPr>
                        <m:sty m:val="p"/>
                      </m:rPr>
                      <m:t>+</m:t>
                    </m:r>
                    <m:sSub>
                      <m:e>
                        <m:r>
                          <m:t>X</m:t>
                        </m:r>
                      </m:e>
                      <m:sub>
                        <m:r>
                          <m:t>s</m:t>
                        </m:r>
                        <m:r>
                          <m:t>h</m:t>
                        </m:r>
                        <m:r>
                          <m:t>i</m:t>
                        </m:r>
                        <m:r>
                          <m:t>f</m:t>
                        </m:r>
                        <m:r>
                          <m:t>t</m:t>
                        </m:r>
                      </m:sub>
                    </m:sSub>
                    <m:r>
                      <m:rPr>
                        <m:sty m:val="p"/>
                      </m:rPr>
                      <m:t>,</m:t>
                    </m:r>
                    <m:sSubSup>
                      <m:e>
                        <m:r>
                          <m:t>y</m:t>
                        </m:r>
                      </m:e>
                      <m:sub>
                        <m:r>
                          <m:t>s</m:t>
                        </m:r>
                        <m:r>
                          <m:t>c</m:t>
                        </m:r>
                        <m:r>
                          <m:t>a</m:t>
                        </m:r>
                        <m:r>
                          <m:t>t</m:t>
                        </m:r>
                      </m:sub>
                      <m:sup>
                        <m:r>
                          <m:t>2</m:t>
                        </m:r>
                      </m:sup>
                    </m:sSubSup>
                    <m:r>
                      <m:rPr>
                        <m:sty m:val="p"/>
                      </m:rPr>
                      <m:t>+</m:t>
                    </m:r>
                    <m:sSubSup>
                      <m:e>
                        <m:r>
                          <m:t>σ</m:t>
                        </m:r>
                      </m:e>
                      <m:sub>
                        <m:r>
                          <m:t>R</m:t>
                        </m:r>
                      </m:sub>
                      <m:sup>
                        <m:r>
                          <m:t>2</m:t>
                        </m:r>
                      </m:sup>
                    </m:sSubSup>
                  </m:e>
                </m:d>
                <m:r>
                  <m:rPr>
                    <m:sty m:val="p"/>
                  </m:rPr>
                  <m:t>,</m:t>
                </m:r>
              </m:e>
            </m:mr>
          </m:m>
        </m:oMath>
      </m:oMathPara>
    </w:p>
    <w:p>
      <w:pPr>
        <w:pStyle w:val="FirstParagraph"/>
      </w:pPr>
      <w:r>
        <w:t xml:space="preserve">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grow/>
          </m:dPr>
          <m:e>
            <m:sSub>
              <m:e>
                <m:r>
                  <m:t>σ</m:t>
                </m:r>
              </m:e>
              <m:sub>
                <m:r>
                  <m:t>m</m:t>
                </m:r>
                <m:r>
                  <m:t>i</m:t>
                </m:r>
                <m:r>
                  <m:t>n</m:t>
                </m:r>
              </m:sub>
            </m:sSub>
            <m:r>
              <m:rPr>
                <m:sty m:val="p"/>
              </m:rPr>
              <m:t>,</m:t>
            </m:r>
            <m:r>
              <m:t>μ</m:t>
            </m:r>
            <m:r>
              <m:rPr>
                <m:sty m:val="p"/>
              </m:rPr>
              <m:t>(</m:t>
            </m:r>
            <m:r>
              <m:t>θ</m:t>
            </m:r>
            <m:r>
              <m:rPr>
                <m:sty m:val="p"/>
              </m:rPr>
              <m:t>′</m:t>
            </m:r>
            <m:r>
              <m:rPr>
                <m:sty m:val="p"/>
              </m:rP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4">
        <w:r>
          <w:rPr>
            <w:rStyle w:val="Hyperlink"/>
          </w:rPr>
          <w:t xml:space="preserve">https://github.com/maquinolopez/Paper_Simulations/tree/master/Code/Data</w:t>
        </w:r>
      </w:hyperlink>
      <w:r>
        <w:t xml:space="preserve">.</w:t>
      </w:r>
    </w:p>
    <w:bookmarkEnd w:id="45"/>
    <w:bookmarkStart w:id="46"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w:t>
      </w:r>
      <w:r>
        <w:t xml:space="preserve"> </w:t>
      </w:r>
      <w:r>
        <w:t xml:space="preserve">In the case of</w:t>
      </w:r>
      <w:r>
        <w:t xml:space="preserve"> </w:t>
      </w:r>
      <w:r>
        <w:rPr>
          <w:iCs/>
          <w:i/>
        </w:rPr>
        <w:t xml:space="preserve">Plum</w:t>
      </w:r>
      <w:r>
        <w:t xml:space="preserve">, default settings were used in order to minimize user interaction.</w:t>
      </w:r>
      <w:r>
        <w:t xml:space="preserve"> </w:t>
      </w:r>
      <w:r>
        <w:t xml:space="preserve">As for the default settings were used.</w:t>
      </w:r>
      <w:r>
        <w:t xml:space="preserve"> </w:t>
      </w:r>
      <w:r>
        <w:t xml:space="preserve">As the CRS model (for both the CI-CRS and R-CRS) assumes that background (supported)</w:t>
      </w:r>
      <w:r>
        <w:t xml:space="preserve"> </w:t>
      </w:r>
      <m:oMath>
        <m:sSup>
          <m:e>
            <m:r>
              <m:t>​</m:t>
            </m:r>
          </m:e>
          <m:sup>
            <m:r>
              <m:t>210</m:t>
            </m:r>
          </m:sup>
        </m:sSup>
      </m:oMath>
      <w:r>
        <w:t xml:space="preserve">Pb has been reached, in order to reduce user innervation, we decided to fix the last sample (30 cm depth) for every case.</w:t>
      </w:r>
      <w:r>
        <w:t xml:space="preserve"> </w:t>
      </w:r>
      <w:r>
        <w:t xml:space="preserve">This step not only guarantees the consistent application of the CRS model, it also provides the model with a single bottom-most depth to be removed as it is common practice when using the CRS model.</w:t>
      </w:r>
      <w:r>
        <w:t xml:space="preserve"> </w:t>
      </w:r>
      <w:r>
        <w:t xml:space="preserve">Conversely, as 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when certain excess activities at depth fall below zero, the chronology will only be calculated up to that depth.</w:t>
      </w:r>
      <w:r>
        <w:t xml:space="preserve"> </w:t>
      </w:r>
      <w:r>
        <w:rPr>
          <w:iCs/>
          <w:i/>
        </w:rPr>
        <w:t xml:space="preserve">Plum</w:t>
      </w:r>
      <w:r>
        <w:t xml:space="preserve"> </w:t>
      </w:r>
      <w:r>
        <w:t xml:space="preserve">deals with this variable supported</w:t>
      </w:r>
      <w:r>
        <w:t xml:space="preserve"> </w:t>
      </w:r>
      <m:oMath>
        <m:sSup>
          <m:e>
            <m:r>
              <m:t>​</m:t>
            </m:r>
          </m:e>
          <m:sup>
            <m:r>
              <m:t>210</m:t>
            </m:r>
          </m:sup>
        </m:sSup>
      </m:oMath>
      <w:r>
        <w:t xml:space="preserve">Pb variable automatically, as part of the inference.</w:t>
      </w:r>
      <w:r>
        <w:t xml:space="preserve"> </w:t>
      </w:r>
      <w:r>
        <w:t xml:space="preserve">Because of this,</w:t>
      </w:r>
      <w:r>
        <w:t xml:space="preserve"> </w:t>
      </w:r>
      <w:r>
        <w:rPr>
          <w:iCs/>
          <w:i/>
        </w:rPr>
        <w:t xml:space="preserve">Plum</w:t>
      </w:r>
      <w:r>
        <w:t xml:space="preserve">’s resulting chronology will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in order to reduce the influence of this variable in the bias of the models, a constant level of supported</w:t>
      </w:r>
      <w:r>
        <w:t xml:space="preserve"> </w:t>
      </w:r>
      <m:oMath>
        <m:sSup>
          <m:e>
            <m:r>
              <m:t>​</m:t>
            </m:r>
          </m:e>
          <m:sup>
            <m:r>
              <m:t>210</m:t>
            </m:r>
          </m:sup>
        </m:sSup>
      </m:oMath>
      <w:r>
        <w:t xml:space="preserve">Pb was assumed for both models, which coincides with the way the simulation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CRS model.</w:t>
      </w:r>
    </w:p>
    <w:p>
      <w:pPr>
        <w:pStyle w:val="BodyText"/>
      </w:pPr>
      <w:r>
        <w:t xml:space="preserve">In order to provide an objective comparison, the bias of the true age-depth model (in yr), length of the 95% intervals (in yr) and coverage (bias over the standard deviation) were calculated (the coverage indicates the distance of modelled ages from the true value given the model’s own uncertainty).</w:t>
      </w:r>
      <w:r>
        <w:t xml:space="preserve"> </w:t>
      </w:r>
      <w:r>
        <w:t xml:space="preserve">The main discussion will revolve around the coverage as it provide an intuitive measure of the accuracy a model by taking into account the levels of uncertainty provided by each model.</w:t>
      </w:r>
    </w:p>
    <w:bookmarkEnd w:id="46"/>
    <w:bookmarkEnd w:id="47"/>
    <w:bookmarkStart w:id="54"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will be used.</w:t>
      </w:r>
      <w:r>
        <w:t xml:space="preserve"> </w:t>
      </w:r>
      <w:r>
        <w:t xml:space="preserve">In order to reflect the effect of sample sizes, which depending on the budget of the project, the core could entirely sample or only a portion of it.</w:t>
      </w:r>
      <w:r>
        <w:t xml:space="preserve"> </w:t>
      </w:r>
      <w:r>
        <w:t xml:space="preserve">A samples of size</w:t>
      </w:r>
      <w:r>
        <w:t xml:space="preserve"> </w:t>
      </w:r>
      <m:oMath>
        <m:r>
          <m:t>m</m:t>
        </m:r>
      </m:oMath>
      <w:r>
        <w:t xml:space="preserve"> </w:t>
      </w:r>
      <w:r>
        <w:t xml:space="preserve">is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interval and coverage:</w:t>
      </w:r>
      <w:r>
        <w:t xml:space="preserve"> </w:t>
      </w:r>
      <w:r>
        <w:t xml:space="preserve">100 of these sub-datasets were created for different information percentages (from 10% to 95% at 5% intervals - i.e., 10%, 15%, 20%,...,95%).</w:t>
      </w:r>
      <w:r>
        <w:t xml:space="preserve"> </w:t>
      </w:r>
      <w:r>
        <w:t xml:space="preserve">The complete dataset was also used (i.e 100% percentage of information sample, or fully sampled core).</w:t>
      </w:r>
      <w:r>
        <w:t xml:space="preserve"> </w:t>
      </w:r>
      <w:r>
        <w:t xml:space="preserve">Once a dataset was created, both CRS models and</w:t>
      </w:r>
      <w:r>
        <w:t xml:space="preserve"> </w:t>
      </w:r>
      <w:r>
        <w:rPr>
          <w:iCs/>
          <w:i/>
        </w:rPr>
        <w:t xml:space="preserve">Plum</w:t>
      </w:r>
      <w:r>
        <w:t xml:space="preserve"> </w:t>
      </w:r>
      <w:r>
        <w:t xml:space="preserve">were applied (CIC and CF:CS were also applied and results shown on the appendix).</w:t>
      </w:r>
      <w:r>
        <w:t xml:space="preserve"> </w:t>
      </w:r>
      <w:r>
        <w:t xml:space="preserve">Both sets of outputs were then compared against the true known age value, see Figure</w:t>
      </w:r>
      <w:r>
        <w:t xml:space="preserve"> </w:t>
      </w:r>
      <w:hyperlink w:anchor="fig:comparison1r">
        <w:r>
          <w:rPr>
            <w:rStyle w:val="Hyperlink"/>
          </w:rPr>
          <w:t xml:space="preserve">4</w:t>
        </w:r>
      </w:hyperlink>
      <w:r>
        <w:t xml:space="preserve">.</w:t>
      </w:r>
    </w:p>
    <w:p>
      <w:pPr>
        <w:pStyle w:val="CaptionedFigure"/>
      </w:pPr>
      <w:bookmarkStart w:id="49" w:name="fig:comparison1r"/>
      <w:r>
        <w:drawing>
          <wp:inline>
            <wp:extent cx="5334000" cy="4741333"/>
            <wp:effectExtent b="0" l="0" r="0" t="0"/>
            <wp:docPr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 axis shows how many standard deviations is each model from the true age. " title="" id="1" name="Picture"/>
            <a:graphic>
              <a:graphicData uri="http://schemas.openxmlformats.org/drawingml/2006/picture">
                <pic:pic>
                  <pic:nvPicPr>
                    <pic:cNvPr descr="95Comparison.pdf" id="0" name="Picture"/>
                    <pic:cNvPicPr>
                      <a:picLocks noChangeArrowheads="1" noChangeAspect="1"/>
                    </pic:cNvPicPr>
                  </pic:nvPicPr>
                  <pic:blipFill>
                    <a:blip r:embed="rId48"/>
                    <a:stretch>
                      <a:fillRect/>
                    </a:stretch>
                  </pic:blipFill>
                  <pic:spPr bwMode="auto">
                    <a:xfrm>
                      <a:off x="0" y="0"/>
                      <a:ext cx="5334000" cy="4741333"/>
                    </a:xfrm>
                    <a:prstGeom prst="rect">
                      <a:avLst/>
                    </a:prstGeom>
                    <a:noFill/>
                    <a:ln w="9525">
                      <a:noFill/>
                      <a:headEnd/>
                      <a:tailEnd/>
                    </a:ln>
                  </pic:spPr>
                </pic:pic>
              </a:graphicData>
            </a:graphic>
          </wp:inline>
        </w:drawing>
      </w:r>
      <w:bookmarkEnd w:id="49"/>
    </w:p>
    <w:p>
      <w:pPr>
        <w:pStyle w:val="ImageCaption"/>
      </w:pPr>
      <w:r>
        <w:t xml:space="preserve">Figure 4: Comparison between</w:t>
      </w:r>
      <w:r>
        <w:t xml:space="preserve"> </w:t>
      </w:r>
      <w:r>
        <w:rPr>
          <w:iCs/>
          <w:i/>
        </w:rPr>
        <w:t xml:space="preserve">Plum</w:t>
      </w:r>
      <w:r>
        <w:t xml:space="preserve">, R-CRS and CI-CRS model against the true age-depth model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4</w:t>
        </w:r>
      </w:hyperlink>
      <w:r>
        <w:t xml:space="preserve"> </w:t>
      </w:r>
      <w:r>
        <w:t xml:space="preserve">shows a single “snapshot"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bias to the true age-depth model (in yr), the mean of length of the 95% intervals (in yr), as well as the mean coverage indicating the distance of modelled ages from the true value given the model’s own uncertainty at each depth.</w:t>
      </w:r>
    </w:p>
    <w:p>
      <w:pPr>
        <w:pStyle w:val="CaptionedFigure"/>
      </w:pPr>
      <w:bookmarkStart w:id="51" w:name="fig:accpre"/>
      <w:r>
        <w:drawing>
          <wp:inline>
            <wp:extent cx="5334000" cy="7112000"/>
            <wp:effectExtent b="0" l="0" r="0" t="0"/>
            <wp:docPr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lot bigger for low percentage of information and it constantly improves as more data is available, whereas the length of the intervals provided by the CI-CRS and R-CRS appear to stay constant regardless of the available information. Bottom panel C) shows the coverage, presenting the distance between the modelled age and the true age normalized divided by the standard deviation (in the case of Plum, the length of the 95% interval divided by 4). This panel presents a worrying situation where the CI-CRS and R-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bookmarkEnd w:id="51"/>
    </w:p>
    <w:p>
      <w:pPr>
        <w:pStyle w:val="ImageCaption"/>
      </w:pPr>
      <w:r>
        <w:t xml:space="preserve">Figure 5: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and credible intervals in the case of plum. It is clear, from this panel, than the uncertainty provided by</w:t>
      </w:r>
      <w:r>
        <w:t xml:space="preserve"> </w:t>
      </w:r>
      <w:r>
        <w:rPr>
          <w:iCs/>
          <w:i/>
        </w:rPr>
        <w:t xml:space="preserve">Plum</w:t>
      </w:r>
      <w:r>
        <w:t xml:space="preserve"> </w:t>
      </w:r>
      <w:r>
        <w:t xml:space="preserve">is a lot bigger for low percentage of information and it constantly improves as more data is available, whereas the length of the intervals provided by the CI-CRS and R-CRS appear to stay constant regardless of the available information. Bottom panel C) shows the coverage, presenting the distance between the modelled age and the true age normalized divided by the standard deviation (in the case of</w:t>
      </w:r>
      <w:r>
        <w:t xml:space="preserve"> </w:t>
      </w:r>
      <w:r>
        <w:rPr>
          <w:iCs/>
          <w:i/>
        </w:rPr>
        <w:t xml:space="preserve">Plum</w:t>
      </w:r>
      <w:r>
        <w:t xml:space="preserve">, the length of the 95% interval divided by 4). This panel presents a worrying situation where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5</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and R-CRS) at first appears to provide a similar results (similar biasses) to the Bayesian alternative (</w:t>
      </w:r>
      <w:r>
        <w:rPr>
          <w:iCs/>
          <w:i/>
        </w:rPr>
        <w:t xml:space="preserve">Plum</w:t>
      </w:r>
      <w:r>
        <w:t xml:space="preserve">), but at higher estimated precision, if we only consider at the length of the 95% interval.</w:t>
      </w:r>
      <w:r>
        <w:t xml:space="preserve"> </w:t>
      </w:r>
      <w:r>
        <w:t xml:space="preserve">It is important to note that the CI-CRS and R-CRS models’ bias improves as more information is available.</w:t>
      </w:r>
      <w:r>
        <w:t xml:space="preserve"> </w:t>
      </w:r>
      <w:r>
        <w:t xml:space="preserve">However, if we do not consider both the effects of both the bias and length of the interval together, the results are not favourable to the CI-CRS.</w:t>
      </w:r>
      <w:r>
        <w:t xml:space="preserve"> </w:t>
      </w:r>
      <w:r>
        <w:t xml:space="preserve">To have a more realistic representation of how the models capture the true age-depth models relationship, we should observe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a coverage larger than two (two standard deviations) is incapable of capturing the true ages within its uncertainty intervals.</w:t>
      </w:r>
      <w:r>
        <w:t xml:space="preserve"> </w:t>
      </w:r>
      <w:r>
        <w:t xml:space="preserve">This means that, while the CI-CRS and R-CRS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for the CI-CRS models. Furthermore, only 0.54% (29/5333) of the CI-CRS models runs remain under the 1 standard deviation, which is the most commonly reported interval when reporting CI-CRS results, with R-CRS providing very similar results.</w:t>
      </w:r>
      <w:r>
        <w:t xml:space="preserve"> </w:t>
      </w:r>
      <w:r>
        <w:t xml:space="preserve">We can also observe a clear structure in the way that</w:t>
      </w:r>
      <w:r>
        <w:t xml:space="preserve"> </w:t>
      </w:r>
      <w:r>
        <w:rPr>
          <w:iCs/>
          <w:i/>
        </w:rPr>
        <w:t xml:space="preserve">Plum</w:t>
      </w:r>
      <w:r>
        <w:t xml:space="preserve"> </w:t>
      </w:r>
      <w:r>
        <w:t xml:space="preserve">increases its accuracy and precision to obtain a better chronology as more information is available, whereas the CI-CRS and R-CRS model does not appears to improve its ability to capture the true value from additional data, i.e it does not improve its coverage as more data is available.</w:t>
      </w:r>
      <w:r>
        <w:t xml:space="preserve"> </w:t>
      </w:r>
      <w:r>
        <w:t xml:space="preserve">Since we obtained very similar results from both the CI-CRS and R-CRS, the discussion will now focus on the CRS in general taking the CI-CRS as its base for the following calculations.</w:t>
      </w:r>
    </w:p>
    <w:p>
      <w:pPr>
        <w:pStyle w:val="BodyText"/>
      </w:pPr>
      <w:r>
        <w:t xml:space="preserve">These results are valid for the overall chronology (the mean bias, interval and coverage of the overall chronology).</w:t>
      </w:r>
      <w:r>
        <w:t xml:space="preserve"> </w:t>
      </w:r>
      <w:r>
        <w:t xml:space="preserve">In order to evaluate whether certain models are better predicting ages at certain section of the sediment cores, we have to look at the coverage of every depth.</w:t>
      </w:r>
    </w:p>
    <w:p>
      <w:pPr>
        <w:pStyle w:val="CaptionedFigure"/>
      </w:pPr>
      <w:bookmarkStart w:id="53" w:name="fig:depths"/>
      <w:r>
        <w:drawing>
          <wp:inline>
            <wp:extent cx="5334000" cy="4000500"/>
            <wp:effectExtent b="0" l="0" r="0" t="0"/>
            <wp:docPr descr="Figure 6: coverage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bias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nstrat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new.pdf"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bookmarkEnd w:id="53"/>
    </w:p>
    <w:p>
      <w:pPr>
        <w:pStyle w:val="ImageCaption"/>
      </w:pPr>
      <w:r>
        <w:t xml:space="preserve">Figure 6: coverage of every sampling sample at every depth for the three simulated scenarios - CI-CRS age estimates at samples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normalized bias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Cs/>
          <w:i/>
        </w:rPr>
        <w:t xml:space="preserve">Plum</w:t>
      </w:r>
      <w:r>
        <w:t xml:space="preserve"> </w:t>
      </w:r>
      <w:r>
        <w:t xml:space="preserve">demonstrates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6</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Cs/>
          <w:i/>
        </w:rPr>
        <w:t xml:space="preserve">Plum</w:t>
      </w:r>
      <w:r>
        <w:t xml:space="preserve"> </w:t>
      </w:r>
      <w:r>
        <w:t xml:space="preserve">behaved in sedimentation simulation 2.</w:t>
      </w:r>
    </w:p>
    <w:bookmarkEnd w:id="54"/>
    <w:bookmarkStart w:id="55"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and</w:t>
      </w:r>
      <w:r>
        <w:t xml:space="preser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levels.</w:t>
      </w:r>
      <w:r>
        <w:t xml:space="preserve"> </w:t>
      </w:r>
      <w:r>
        <w:t xml:space="preserve">For the first level, the overall accuracy and precision of the method were evaluated.</w:t>
      </w:r>
      <w:r>
        <w:t xml:space="preserve"> </w:t>
      </w:r>
      <w:r>
        <w:t xml:space="preserve">The mean of the bias, length of the 95% confidence and credible intervals, as well as the coverage were measured.</w:t>
      </w:r>
      <w:r>
        <w:t xml:space="preserve"> </w:t>
      </w:r>
      <w:r>
        <w:t xml:space="preserve">The second level focused on the ability of each model to capture the true value in their credible/confidence interval, and the coverage of every scenario per depth was calculated.</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5</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On the subject of precision, the Bayesian method is providing much larger uncertainties when small sample sizes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in contraste to the Bayesian approach (</w:t>
      </w:r>
      <w:r>
        <w:rPr>
          <w:iCs/>
          <w:i/>
        </w:rPr>
        <w:t xml:space="preserve">Plum</w:t>
      </w:r>
      <w:r>
        <w:t xml:space="preserve">) using a proper statistical inference.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and this experiment confirms the latter.</w:t>
      </w:r>
      <w:r>
        <w:t xml:space="preserve"> </w:t>
      </w:r>
      <w:r>
        <w:t xml:space="preserve">Further evidence that these uncertainties are more sensible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capability of the model to capture the true values within their intervals, shows that the classical model (CRS) on average is incapable of capturing the true values within its 95% confidence interval.</w:t>
      </w:r>
      <w:r>
        <w:t xml:space="preserve"> </w:t>
      </w:r>
      <w:r>
        <w:t xml:space="preserve">These results are especially worrisome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w:t>
      </w:r>
    </w:p>
    <w:p>
      <w:pPr>
        <w:pStyle w:val="BodyText"/>
      </w:pPr>
      <w:r>
        <w:t xml:space="preserve">Because the coverage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6</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does not exhibits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 deeper than 15 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While the classical approach provides reasonable results, regarding the bias, unfortunately the uncertainty quantification in these methods needs improvements as they do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 This leads to chronologies that are capable of capturing the true age in their credible intervals.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 dating is now widely-used in pollution, environmental and climate change studies, which potentially have a high impact on both policy making and public perception, realistic age estimates and uncertainties become extremely important.</w:t>
      </w:r>
    </w:p>
    <w:bookmarkEnd w:id="55"/>
    <w:bookmarkStart w:id="56" w:name="acknowledgments"/>
    <w:p>
      <w:pPr>
        <w:pStyle w:val="Heading1"/>
      </w:pPr>
      <w:r>
        <w:t xml:space="preserve">Acknowledgments</w:t>
      </w:r>
    </w:p>
    <w:p>
      <w:pPr>
        <w:pStyle w:val="FirstParagraph"/>
      </w:pPr>
      <w:r>
        <w:t xml:space="preserve">The authors are partially founded by CONACYT CB-2016-01-284451 and COVID19 312772 grants and a RDCOMM grant.</w:t>
      </w:r>
      <w:r>
        <w:t xml:space="preserve"> </w:t>
      </w:r>
      <w:r>
        <w:t xml:space="preserve">The corresponding author is founded by CONACYT through the postdoctoral residence program with CVU 489201.</w:t>
      </w:r>
    </w:p>
    <w:bookmarkEnd w:id="56"/>
    <w:bookmarkStart w:id="58" w:name="sec:supp_mat"/>
    <w:p>
      <w:pPr>
        <w:pStyle w:val="Heading1"/>
      </w:pPr>
      <w:r>
        <w:t xml:space="preserve">Supplementary Material</w:t>
      </w:r>
    </w:p>
    <w:p>
      <w:pPr>
        <w:pStyle w:val="FirstParagraph"/>
      </w:pPr>
      <w:r>
        <w:t xml:space="preserve">Data for each simulation and code used are hosted at:</w:t>
      </w:r>
      <w:r>
        <w:t xml:space="preserve"> </w:t>
      </w:r>
      <w:hyperlink r:id="rId57">
        <w:r>
          <w:rPr>
            <w:rStyle w:val="Hyperlink"/>
          </w:rPr>
          <w:t xml:space="preserve">https://github.com/maquinolopez/Paper_Simulations</w:t>
        </w:r>
      </w:hyperlink>
    </w:p>
    <w:bookmarkEnd w:id="58"/>
    <w:bookmarkStart w:id="61" w:name="appendix-a"/>
    <w:p>
      <w:pPr>
        <w:pStyle w:val="Heading1"/>
      </w:pPr>
      <w:r>
        <w:t xml:space="preserve">Appendix A</w:t>
      </w:r>
    </w:p>
    <w:p>
      <w:pPr>
        <w:pStyle w:val="FirstParagraph"/>
      </w:pPr>
      <w:r>
        <w:t xml:space="preserve">Bias, length of 95% confidence intervals (credible intervals for</w:t>
      </w:r>
      <w:r>
        <w:t xml:space="preserve"> </w:t>
      </w:r>
      <w:r>
        <w:rPr>
          <w:iCs/>
          <w:i/>
        </w:rPr>
        <w:t xml:space="preserve">Plum</w:t>
      </w:r>
      <w:r>
        <w:t xml:space="preserve">) and coverage of the CIC and CF:CS models are shown in Figure</w:t>
      </w:r>
      <w:r>
        <w:t xml:space="preserve"> </w:t>
      </w:r>
      <w:hyperlink w:anchor="fig:CIC-CFCS">
        <w:r>
          <w:rPr>
            <w:rStyle w:val="Hyperlink"/>
          </w:rPr>
          <w:t xml:space="preserve">7</w:t>
        </w:r>
      </w:hyperlink>
      <w:r>
        <w:t xml:space="preserve">.</w:t>
      </w:r>
      <w:r>
        <w:t xml:space="preserve"> </w:t>
      </w:r>
      <w:r>
        <w:t xml:space="preserve">As it can be observe and as expected the bias of the CIC model (which can be consider the simples model) is much bigger when compare to any other alternative and it does not decrease as more data is available.</w:t>
      </w:r>
      <w:r>
        <w:t xml:space="preserve"> </w:t>
      </w:r>
      <w:r>
        <w:t xml:space="preserve">The confidence interval remains regarles of the information available, and coverage is almost always above two, which means that the uncertainties are not sufficient to capture the true age-depth model.</w:t>
      </w:r>
      <w:r>
        <w:t xml:space="preserve"> </w:t>
      </w:r>
      <w:r>
        <w:t xml:space="preserve">On the other hand the CF:CS model does decrease its bias as more data is available and after 60% to 70% this decrease does not seen improve.</w:t>
      </w:r>
      <w:r>
        <w:t xml:space="preserve"> </w:t>
      </w:r>
      <w:r>
        <w:t xml:space="preserve">The length of the interval remains the same regarles of the information available and the coverage just like the CIC model is almost always above 2 meaning that the uncertainties are not sufficient.</w:t>
      </w:r>
    </w:p>
    <w:p>
      <w:pPr>
        <w:pStyle w:val="BodyText"/>
      </w:pPr>
      <w:r>
        <w:t xml:space="preserve">These results are consistent with the discussion in the paper as classical model appear to not improve as more data is available. Its bias does decrease as more data is available (in the case of the CF:CS model) but its uncertainty is underestimated which in turn does not allow the method to have a reasonable coverage.</w:t>
      </w:r>
    </w:p>
    <w:p>
      <w:pPr>
        <w:pStyle w:val="CaptionedFigure"/>
      </w:pPr>
      <w:bookmarkStart w:id="60" w:name="fig:CIC-CFCS"/>
      <w:r>
        <w:drawing>
          <wp:inline>
            <wp:extent cx="4679999" cy="6239999"/>
            <wp:effectExtent b="0" l="0" r="0" t="0"/>
            <wp:docPr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normalized divided by the standard deviation. " title="" id="1" name="Picture"/>
            <a:graphic>
              <a:graphicData uri="http://schemas.openxmlformats.org/drawingml/2006/picture">
                <pic:pic>
                  <pic:nvPicPr>
                    <pic:cNvPr descr="AccPrec-appendix.pdf" id="0" name="Picture"/>
                    <pic:cNvPicPr>
                      <a:picLocks noChangeArrowheads="1" noChangeAspect="1"/>
                    </pic:cNvPicPr>
                  </pic:nvPicPr>
                  <pic:blipFill>
                    <a:blip r:embed="rId59"/>
                    <a:stretch>
                      <a:fillRect/>
                    </a:stretch>
                  </pic:blipFill>
                  <pic:spPr bwMode="auto">
                    <a:xfrm>
                      <a:off x="0" y="0"/>
                      <a:ext cx="4679999" cy="6239999"/>
                    </a:xfrm>
                    <a:prstGeom prst="rect">
                      <a:avLst/>
                    </a:prstGeom>
                    <a:noFill/>
                    <a:ln w="9525">
                      <a:noFill/>
                      <a:headEnd/>
                      <a:tailEnd/>
                    </a:ln>
                  </pic:spPr>
                </pic:pic>
              </a:graphicData>
            </a:graphic>
          </wp:inline>
        </w:drawing>
      </w:r>
      <w:bookmarkEnd w:id="60"/>
    </w:p>
    <w:p>
      <w:pPr>
        <w:pStyle w:val="ImageCaption"/>
      </w:pPr>
      <w:r>
        <w:t xml:space="preserve">Figure 7: Top panel A) shows the bias between the modelled and true age of the CF:CS (purple) and CIC (Orange). Middle panel B) shows the 95% confidence intervals (credible intervals for</w:t>
      </w:r>
      <w:r>
        <w:t xml:space="preserve"> </w:t>
      </w:r>
      <w:r>
        <w:rPr>
          <w:iCs/>
          <w:i/>
        </w:rPr>
        <w:t xml:space="preserve">Plum</w:t>
      </w:r>
      <w:r>
        <w:t xml:space="preserve">). Bottom panel C) shows the coverage, presenting the distance between the modelled age and the true age normalized divided by the standard deviation.</w:t>
      </w:r>
      <w:r>
        <w:t xml:space="preserve"> </w:t>
      </w:r>
    </w:p>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df" /><Relationship Type="http://schemas.openxmlformats.org/officeDocument/2006/relationships/image" Id="rId59" Target="media/rId59.pdf" /><Relationship Type="http://schemas.openxmlformats.org/officeDocument/2006/relationships/image" Id="rId50" Target="media/rId50.pdf" /><Relationship Type="http://schemas.openxmlformats.org/officeDocument/2006/relationships/image" Id="rId35" Target="media/rId35.pdf" /><Relationship Type="http://schemas.openxmlformats.org/officeDocument/2006/relationships/image" Id="rId27" Target="media/rId27.pdf" /><Relationship Type="http://schemas.openxmlformats.org/officeDocument/2006/relationships/image" Id="rId42" Target="media/rId42.pdf" /><Relationship Type="http://schemas.openxmlformats.org/officeDocument/2006/relationships/image" Id="rId52" Target="media/rId52.pdf" /><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_rels/footnotes.xml.rels><?xml version="1.0" encoding="UTF-8"?>
<Relationships xmlns="http://schemas.openxmlformats.org/package/2006/relationships"><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analyses </dc:title>
  <dc:creator>Marco A Aquino-López ; Nicole K. Sanderson; Maarten Blaauw; Joan-Albert Sanchez-Cabeza; Ana Carolina Ruiz-Fernandez; J Andrés Christen</dc:creator>
  <cp:keywords/>
  <dcterms:created xsi:type="dcterms:W3CDTF">2021-03-21T01:32:40Z</dcterms:created>
  <dcterms:modified xsi:type="dcterms:W3CDTF">2021-03-21T01:32:40Z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have led to a considerable number of studies focusing on sedimentary records for the last \sim 100 - 200 years. Dating this period is often complicated by the poor resolution and large errors associated with radiocarbon (14C) ages, which is the most popular dating technique. To improve age-depth model resolution for the recent period, sediment dating with lead-210 (^{210}Pb)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work, we compare the classical approach to ^{210}Pb dating (CRS) and its Bayesian alternative (Plum). To do so, we created simulated ^{210}Pb profiles following three different sedimentation processes, complying with the assumptions imposed by the CRS model, and analysed them using both approaches. Results indicate that the CRS model does not capture the true values even with a high dating resolution for the sediment, nor improves does its accuracy improve as more information is available. On the other hand, the Bayesian alternative (Plum) provides consistently more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isecHeaderDelim[n]t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